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D731" w14:textId="1BA0F428" w:rsidR="00A27BB7" w:rsidRPr="00743992" w:rsidRDefault="00797701">
      <w:pPr>
        <w:pStyle w:val="Titre2"/>
        <w:rPr>
          <w:color w:val="000000" w:themeColor="text1"/>
        </w:rPr>
      </w:pPr>
      <w:r w:rsidRPr="00743992">
        <w:rPr>
          <w:b/>
          <w:bCs/>
          <w:color w:val="000000" w:themeColor="text1"/>
        </w:rPr>
        <w:t xml:space="preserve">Repères historiques et justification des sous-périodes </w:t>
      </w:r>
      <w:r w:rsidR="00743992">
        <w:rPr>
          <w:b/>
          <w:bCs/>
          <w:color w:val="000000" w:themeColor="text1"/>
        </w:rPr>
        <w:t>d’analyse</w:t>
      </w:r>
    </w:p>
    <w:p w14:paraId="0D532C6D" w14:textId="10D78C94" w:rsidR="00A27BB7" w:rsidRDefault="00A27BB7">
      <w:pPr>
        <w:spacing w:after="200"/>
      </w:pP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3694"/>
        <w:gridCol w:w="4044"/>
      </w:tblGrid>
      <w:tr w:rsidR="00A27BB7" w14:paraId="29821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BF8DC" w14:textId="77777777" w:rsidR="00A27BB7" w:rsidRDefault="00797701">
            <w:r>
              <w:rPr>
                <w:b/>
                <w:bCs/>
              </w:rPr>
              <w:t>Période</w:t>
            </w:r>
          </w:p>
        </w:tc>
        <w:tc>
          <w:tcPr>
            <w:tcW w:w="37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6F0A7" w14:textId="77777777" w:rsidR="00A27BB7" w:rsidRDefault="00797701">
            <w:r>
              <w:rPr>
                <w:b/>
                <w:bCs/>
              </w:rPr>
              <w:t>Suisse : décisions de la BNS</w:t>
            </w:r>
          </w:p>
        </w:tc>
        <w:tc>
          <w:tcPr>
            <w:tcW w:w="40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B239C" w14:textId="77777777" w:rsidR="00A27BB7" w:rsidRDefault="00797701">
            <w:r>
              <w:rPr>
                <w:b/>
                <w:bCs/>
              </w:rPr>
              <w:t>Intérêt pour l'analyse</w:t>
            </w:r>
          </w:p>
        </w:tc>
      </w:tr>
      <w:tr w:rsidR="00A27BB7" w14:paraId="305EA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F722" w14:textId="77777777" w:rsidR="00A27BB7" w:rsidRDefault="00797701">
            <w:r>
              <w:rPr>
                <w:b/>
                <w:bCs/>
              </w:rPr>
              <w:t>2008-2014 Taux bas, non négatifs</w:t>
            </w:r>
          </w:p>
        </w:tc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E1B7" w14:textId="77777777" w:rsidR="00A27BB7" w:rsidRDefault="00797701">
            <w:r>
              <w:t>Le 11 décembre 2008, la BNS abaisse son taux directeur à la fourchette 0-0,75 %. Le 6 septembre 2011, elle fixe un cours plancher de CHF 1,20 pour un euro, défendu jusqu'à son abandon le 15 janvier 2015 (BNS, 2008 ; BNS, 2011).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07D1" w14:textId="77777777" w:rsidR="00A27BB7" w:rsidRDefault="00797701">
            <w:r>
              <w:t>Régime de taux proches de zéro mais encore positifs, avec un régime de change administré à partir de 2011. Période de référence pour tester la fonction défensive obligataire avant l'entrée en territoire négatif.</w:t>
            </w:r>
          </w:p>
        </w:tc>
      </w:tr>
      <w:tr w:rsidR="00A27BB7" w14:paraId="2F29C5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6391" w14:textId="77777777" w:rsidR="00A27BB7" w:rsidRDefault="00797701">
            <w:r>
              <w:rPr>
                <w:b/>
                <w:bCs/>
              </w:rPr>
              <w:t>2015-2022 Taux négatifs</w:t>
            </w:r>
          </w:p>
        </w:tc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9243" w14:textId="77777777" w:rsidR="00A27BB7" w:rsidRDefault="00797701">
            <w:r>
              <w:t>Le 15 janvier 2015, la BNS abandonne le cours plancher et abaisse le taux sur les avoirs à vue à -0,75 %, niveau maintenu jusqu'en juin 2022 (BNS, 2015).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CCFD" w14:textId="77777777" w:rsidR="00A27BB7" w:rsidRDefault="00797701">
            <w:r>
              <w:t>Période la plus longue et la plus centrale pour la problématique de la thèse : rendement obligataire structurellement comprimé, incitation maximale à la recherche de rendement et à la substitution vers des actifs alternatifs.</w:t>
            </w:r>
          </w:p>
        </w:tc>
      </w:tr>
      <w:tr w:rsidR="00A27BB7" w14:paraId="0A261D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52ED" w14:textId="77777777" w:rsidR="00A27BB7" w:rsidRDefault="00797701">
            <w:r>
              <w:rPr>
                <w:b/>
                <w:bCs/>
              </w:rPr>
              <w:t>2022-2024 Resserrement et palier au sommet</w:t>
            </w:r>
          </w:p>
        </w:tc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44D3" w14:textId="77777777" w:rsidR="00A27BB7" w:rsidRDefault="00797701">
            <w:r>
              <w:t>La BNS relève son taux à -0,25 % en juin 2022, +0,50 % en septembre 2022, puis jusqu'à +1,75 % en juin 2023, niveau maintenu jusqu'en mars 2024 (BNS, 2022, 2023).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11F8" w14:textId="77777777" w:rsidR="00A27BB7" w:rsidRDefault="00797701">
            <w:r>
              <w:t xml:space="preserve">Rupture avec le régime « </w:t>
            </w:r>
            <w:proofErr w:type="spellStart"/>
            <w:r>
              <w:t>low</w:t>
            </w:r>
            <w:proofErr w:type="spellEnd"/>
            <w:r>
              <w:t xml:space="preserve"> for long » puis stabilisation à un niveau de taux normalisé. Permet de tester la sensibilité en duration des obligations, la robustesse de la corrélation actions-obligations lors d'un choc rapide, et la performance obligataire en régime de taux positif.</w:t>
            </w:r>
          </w:p>
        </w:tc>
      </w:tr>
      <w:tr w:rsidR="00A27BB7" w14:paraId="755528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1482" w14:textId="77777777" w:rsidR="00A27BB7" w:rsidRDefault="00797701">
            <w:r>
              <w:rPr>
                <w:b/>
                <w:bCs/>
              </w:rPr>
              <w:t>2024-présent Assouplissement et retour au taux zéro</w:t>
            </w:r>
          </w:p>
        </w:tc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A248" w14:textId="77777777" w:rsidR="00A27BB7" w:rsidRDefault="00797701">
            <w:r>
              <w:t>La BNS réduit son taux en six baisses consécutives entre mars 2024 et juin 2025, de 1,75 % à 0 % (BNS, 2024a, 2024b, 2025), niveau maintenu depuis lors (BNS, 2025, 2026).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82F2" w14:textId="77777777" w:rsidR="00A27BB7" w:rsidRDefault="00797701">
            <w:r>
              <w:t>Phase de transition, symétrique de la période 2008-2014. Permet de vérifier si la baisse des taux restaure la performance obligataire et modifie de nouveau l'attractivité relative des alternatives, dans un nouveau régime de taux bas non négatif.</w:t>
            </w:r>
          </w:p>
        </w:tc>
      </w:tr>
    </w:tbl>
    <w:p w14:paraId="5F0A09DF" w14:textId="77777777" w:rsidR="00A27BB7" w:rsidRDefault="00A27BB7">
      <w:pPr>
        <w:spacing w:before="200"/>
      </w:pPr>
    </w:p>
    <w:p w14:paraId="1F29970A" w14:textId="5A79E1C8" w:rsidR="00A27BB7" w:rsidRDefault="00A27BB7"/>
    <w:sectPr w:rsidR="00A27B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72666"/>
    <w:multiLevelType w:val="hybridMultilevel"/>
    <w:tmpl w:val="8D20661A"/>
    <w:lvl w:ilvl="0" w:tplc="4DF411AA">
      <w:start w:val="1"/>
      <w:numFmt w:val="bullet"/>
      <w:lvlText w:val="●"/>
      <w:lvlJc w:val="left"/>
      <w:pPr>
        <w:ind w:left="720" w:hanging="360"/>
      </w:pPr>
    </w:lvl>
    <w:lvl w:ilvl="1" w:tplc="F08E0498">
      <w:start w:val="1"/>
      <w:numFmt w:val="bullet"/>
      <w:lvlText w:val="○"/>
      <w:lvlJc w:val="left"/>
      <w:pPr>
        <w:ind w:left="1440" w:hanging="360"/>
      </w:pPr>
    </w:lvl>
    <w:lvl w:ilvl="2" w:tplc="AE962120">
      <w:start w:val="1"/>
      <w:numFmt w:val="bullet"/>
      <w:lvlText w:val="■"/>
      <w:lvlJc w:val="left"/>
      <w:pPr>
        <w:ind w:left="2160" w:hanging="360"/>
      </w:pPr>
    </w:lvl>
    <w:lvl w:ilvl="3" w:tplc="4E94D698">
      <w:start w:val="1"/>
      <w:numFmt w:val="bullet"/>
      <w:lvlText w:val="●"/>
      <w:lvlJc w:val="left"/>
      <w:pPr>
        <w:ind w:left="2880" w:hanging="360"/>
      </w:pPr>
    </w:lvl>
    <w:lvl w:ilvl="4" w:tplc="03B2467A">
      <w:start w:val="1"/>
      <w:numFmt w:val="bullet"/>
      <w:lvlText w:val="○"/>
      <w:lvlJc w:val="left"/>
      <w:pPr>
        <w:ind w:left="3600" w:hanging="360"/>
      </w:pPr>
    </w:lvl>
    <w:lvl w:ilvl="5" w:tplc="0A76B7FE">
      <w:start w:val="1"/>
      <w:numFmt w:val="bullet"/>
      <w:lvlText w:val="■"/>
      <w:lvlJc w:val="left"/>
      <w:pPr>
        <w:ind w:left="4320" w:hanging="360"/>
      </w:pPr>
    </w:lvl>
    <w:lvl w:ilvl="6" w:tplc="0FD848EE">
      <w:start w:val="1"/>
      <w:numFmt w:val="bullet"/>
      <w:lvlText w:val="●"/>
      <w:lvlJc w:val="left"/>
      <w:pPr>
        <w:ind w:left="5040" w:hanging="360"/>
      </w:pPr>
    </w:lvl>
    <w:lvl w:ilvl="7" w:tplc="54F0DEC4">
      <w:start w:val="1"/>
      <w:numFmt w:val="bullet"/>
      <w:lvlText w:val="●"/>
      <w:lvlJc w:val="left"/>
      <w:pPr>
        <w:ind w:left="5760" w:hanging="360"/>
      </w:pPr>
    </w:lvl>
    <w:lvl w:ilvl="8" w:tplc="C248FB56">
      <w:start w:val="1"/>
      <w:numFmt w:val="bullet"/>
      <w:lvlText w:val="●"/>
      <w:lvlJc w:val="left"/>
      <w:pPr>
        <w:ind w:left="6480" w:hanging="360"/>
      </w:pPr>
    </w:lvl>
  </w:abstractNum>
  <w:num w:numId="1" w16cid:durableId="1176308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BB7"/>
    <w:rsid w:val="001D2F00"/>
    <w:rsid w:val="00496C89"/>
    <w:rsid w:val="00743992"/>
    <w:rsid w:val="00797701"/>
    <w:rsid w:val="00A2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88A09D"/>
  <w15:docId w15:val="{967BBE1C-4D21-C74A-8697-BBB55163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2026-08-11T11:52:00Z</dcterms:created>
  <dcterms:modified xsi:type="dcterms:W3CDTF">2026-08-11T11:52:00Z</dcterms:modified>
</cp:coreProperties>
</file>