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80–84%; the 95% CI includes zero at each level).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</w:t>
      </w:r>
      <w:r>
        <w:t xml:space="preserve">: partial replacement is the better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but the risk-adjusted</w:t>
      </w:r>
      <w:r>
        <w:t xml:space="preserve"> </w:t>
      </w:r>
      <w:r>
        <w:t xml:space="preserve">(Sharpe) differences across low-to-moderate replacement are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, so we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claim a 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investors,</w:t>
      </w:r>
      <w:r>
        <w:t xml:space="preserve"> </w:t>
      </w:r>
      <w:r>
        <w:t xml:space="preserve">though CHF-hedged UCITS equivalents exist). 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that satisfy this rule with full 2008 history; convertibles are a candidate class analysed</w:t>
      </w:r>
      <w:r>
        <w:t xml:space="preserve"> </w:t>
      </w:r>
      <w:r>
        <w:t xml:space="preserve">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The broad-vs-short contrast in R3 (−2.0% vs</w:t>
      </w:r>
      <w:r>
        <w:t xml:space="preserve"> </w:t>
      </w:r>
      <w:r>
        <w:t xml:space="preserve">−0.8%) is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roughly</w:t>
      </w:r>
      <w:r>
        <w:rPr>
          <w:bCs/>
          <w:b/>
        </w:rPr>
        <w:t xml:space="preserve"> </w:t>
      </w:r>
      <w:r>
        <w:rPr>
          <w:bCs/>
          <w:b/>
        </w:rPr>
        <w:t xml:space="preserve">unchanged Sharpe.</w:t>
      </w:r>
      <w:r>
        <w:t xml:space="preserve"> </w:t>
      </w:r>
      <w:r>
        <w:t xml:space="preserve">That clean monotonic trade-off is the central finding.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[−0.13, +0.11] · 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80–84%,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</w:t>
      </w:r>
      <w:r>
        <w:t xml:space="preserve"> </w:t>
      </w:r>
      <w:r>
        <w:t xml:space="preserve">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</w:t>
      </w:r>
      <w:r>
        <w:t xml:space="preserve"> </w:t>
      </w:r>
      <w:r>
        <w:t xml:space="preserve">probability from a 20% replacement (robust to the 90% vs 95% CVaR threshold and to bootstrap</w:t>
      </w:r>
      <w:r>
        <w:t xml:space="preserve"> </w:t>
      </w:r>
      <w:r>
        <w:t xml:space="preserve">block lengths of 3/6/12 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</w:t>
      </w:r>
      <w:r>
        <w:t xml:space="preserve"> </w:t>
      </w:r>
      <w:r>
        <w:t xml:space="preserve">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 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(partial preferred; full deepens downside) is 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and tail loss in every</w:t>
      </w:r>
      <w:r>
        <w:rPr>
          <w:bCs/>
          <w:b/>
        </w:rPr>
        <w:t xml:space="preserve"> </w:t>
      </w:r>
      <w:r>
        <w:rPr>
          <w:bCs/>
          <w:b/>
        </w:rPr>
        <w:t xml:space="preserve">single case</w:t>
      </w:r>
      <w:r>
        <w:t xml:space="preserve">. The weaker</w:t>
      </w:r>
      <w:r>
        <w:t xml:space="preserve"> </w:t>
      </w:r>
      <w:r>
        <w:rPr>
          <w:iCs/>
          <w:i/>
        </w:rPr>
        <w:t xml:space="preserve">partial-Sharpe-advantage</w:t>
      </w:r>
      <w:r>
        <w:t xml:space="preserve"> </w:t>
      </w:r>
      <w:r>
        <w:t xml:space="preserve">(repl-20 ≥ AP5) holds across all band,</w:t>
      </w:r>
      <w:r>
        <w:t xml:space="preserve"> </w:t>
      </w:r>
      <w:r>
        <w:t xml:space="preserve">cost and splice variations</w:t>
      </w:r>
      <w:r>
        <w:t xml:space="preserve"> </w:t>
      </w:r>
      <w:r>
        <w:rPr>
          <w:bCs/>
          <w:b/>
        </w:rPr>
        <w:t xml:space="preserve">but disappears in one case: if HY/EM are left unhedged</w:t>
      </w:r>
      <w:r>
        <w:t xml:space="preserve">, partial</w:t>
      </w:r>
      <w:r>
        <w:t xml:space="preserve"> </w:t>
      </w:r>
      <w:r>
        <w:t xml:space="preserve">no longer beats AP5 on Sharpe (repl-20 0.457 vs AP5 0.462) — a further reason the</w:t>
      </w:r>
      <w:r>
        <w:t xml:space="preserve"> </w:t>
      </w:r>
      <w:r>
        <w:rPr>
          <w:bCs/>
          <w:b/>
        </w:rPr>
        <w:t xml:space="preserve">CHF hedge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 matters</w:t>
      </w:r>
      <w:r>
        <w:t xml:space="preserve">. So the robust, unconditional result is "full replacement worsens</w:t>
      </w:r>
      <w:r>
        <w:t xml:space="preserve"> </w:t>
      </w:r>
      <w:r>
        <w:t xml:space="preserve">downside"; the partial-Sharpe edge is real but hedge-dependent. (The 2010+ sample also changes</w:t>
      </w:r>
      <w:r>
        <w:t xml:space="preserve"> </w:t>
      </w:r>
      <w:r>
        <w:t xml:space="preserve">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matters as much as the replacement fraction</w:t>
      </w:r>
      <w:r>
        <w:t xml:space="preserve"> </w:t>
      </w:r>
      <w:r>
        <w:t xml:space="preserve">— a</w:t>
      </w:r>
      <w:r>
        <w:t xml:space="preserve"> </w:t>
      </w:r>
      <w:r>
        <w:t xml:space="preserve">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The point estimate of Sharpe peaks around a</w:t>
      </w:r>
      <w:r>
        <w:t xml:space="preserve"> </w:t>
      </w:r>
      <w:r>
        <w:rPr>
          <w:bCs/>
          <w:b/>
        </w:rPr>
        <w:t xml:space="preserve">20%</w:t>
      </w:r>
      <w:r>
        <w:t xml:space="preserve"> </w:t>
      </w:r>
      <w:r>
        <w:t xml:space="preserve">replacement, but the study does</w:t>
      </w:r>
      <w:r>
        <w:t xml:space="preserve"> </w:t>
      </w:r>
      <w:r>
        <w:rPr>
          <w:bCs/>
          <w:b/>
        </w:rPr>
        <w:t xml:space="preserve">not statistically distinguish 20%, 30% and 40%</w:t>
      </w:r>
      <w:r>
        <w:t xml:space="preserve"> </w:t>
      </w:r>
      <w:r>
        <w:t xml:space="preserve">—</w:t>
      </w:r>
      <w:r>
        <w:t xml:space="preserve"> </w:t>
      </w:r>
      <w:r>
        <w:t xml:space="preserve">so a low-to-moderate replacement is the most attractive historical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not a unique</w:t>
      </w:r>
      <w:r>
        <w:t xml:space="preserve"> </w:t>
      </w:r>
      <w:r>
        <w:t xml:space="preserve">optimum.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2026-08-16T20:41:08Z</dcterms:created>
  <dcterms:modified xsi:type="dcterms:W3CDTF">2026-08-16T20:41:08Z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