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b3e913b0c6e3f4a2eda995754c57cbe39bfb98c"/>
    <w:p>
      <w:pPr>
        <w:pStyle w:val="Heading2"/>
      </w:pPr>
      <w:r>
        <w:t xml:space="preserve">1. Research question and hypotheses</w:t>
      </w:r>
    </w:p>
    <w:p>
      <w:pPr>
        <w:pStyle w:val="FirstParagraph"/>
      </w:pPr>
      <w:r>
        <w:t xml:space="preserve">Replacing the bond sleeve of a Swiss index mandate (VZ</w:t>
      </w:r>
      <w:r>
        <w:t xml:space="preserve"> </w:t>
      </w:r>
      <w:r>
        <w:rPr>
          <w:bCs/>
          <w:b/>
        </w:rPr>
        <w:t xml:space="preserve">AP5</w:t>
      </w:r>
      <w:r>
        <w:t xml:space="preserve">) is not one question but two:</w:t>
      </w:r>
      <w:r>
        <w:t xml:space="preserve"> </w:t>
      </w:r>
      <w:r>
        <w:rPr>
          <w:iCs/>
          <w:i/>
        </w:rPr>
        <w:t xml:space="preserve">which functions of the bond sleeve can a diversified set of investable alternatives</w:t>
      </w:r>
      <w:r>
        <w:rPr>
          <w:iCs/>
          <w:i/>
        </w:rPr>
        <w:t xml:space="preserve"> </w:t>
      </w:r>
      <w:r>
        <w:rPr>
          <w:iCs/>
          <w:i/>
        </w:rPr>
        <w:t xml:space="preserve">reproduce, and at what risk cost?</w:t>
      </w:r>
      <w:r>
        <w:t xml:space="preserve"> </w:t>
      </w:r>
      <w:r>
        <w:t xml:space="preserve">Bonds in AP5 provide</w:t>
      </w:r>
      <w:r>
        <w:t xml:space="preserve"> </w:t>
      </w:r>
      <w:r>
        <w:rPr>
          <w:bCs/>
          <w:b/>
        </w:rPr>
        <w:t xml:space="preserve">return, carry/income,</w:t>
      </w:r>
      <w:r>
        <w:rPr>
          <w:bCs/>
          <w:b/>
        </w:rPr>
        <w:t xml:space="preserve"> </w:t>
      </w:r>
      <w:r>
        <w:rPr>
          <w:bCs/>
          <w:b/>
        </w:rPr>
        <w:t xml:space="preserve">diversification, liquidity, flight-to-quality, and duration exposure</w:t>
      </w:r>
      <w:r>
        <w:t xml:space="preserve"> </w:t>
      </w:r>
      <w:r>
        <w:t xml:space="preserve">— no single</w:t>
      </w:r>
      <w:r>
        <w:t xml:space="preserve"> </w:t>
      </w:r>
      <w:r>
        <w:t xml:space="preserve">alternative replaces all six. We test: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</w:t>
      </w:r>
      <w:r>
        <w:t xml:space="preserve"> </w:t>
      </w:r>
      <w:r>
        <w:t xml:space="preserve">— Partial bond replacement raises long-run portfolio</w:t>
      </w:r>
      <w:r>
        <w:t xml:space="preserve"> </w:t>
      </w:r>
      <w:r>
        <w:rPr>
          <w:bCs/>
          <w:b/>
        </w:rPr>
        <w:t xml:space="preserve">return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maximum drawdown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</w:t>
      </w:r>
      <w:r>
        <w:t xml:space="preserve"> </w:t>
      </w:r>
      <w:r>
        <w:t xml:space="preserve">— The effect of replacement is</w:t>
      </w:r>
      <w:r>
        <w:t xml:space="preserve"> </w:t>
      </w:r>
      <w:r>
        <w:rPr>
          <w:bCs/>
          <w:b/>
        </w:rPr>
        <w:t xml:space="preserve">regime dependent</w:t>
      </w:r>
      <w:r>
        <w:t xml:space="preserve"> </w:t>
      </w:r>
      <w:r>
        <w:t xml:space="preserve">(SNB rate environment).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H4</w:t>
      </w:r>
      <w:r>
        <w:t xml:space="preserve"> </w:t>
      </w:r>
      <w:r>
        <w:t xml:space="preserve">— Partial replacement offers a more favourable</w:t>
      </w:r>
      <w:r>
        <w:t xml:space="preserve"> </w:t>
      </w:r>
      <w:r>
        <w:rPr>
          <w:bCs/>
          <w:b/>
        </w:rPr>
        <w:t xml:space="preserve">return–risk trade-off</w:t>
      </w:r>
      <w:r>
        <w:t xml:space="preserve"> </w:t>
      </w:r>
      <w:r>
        <w:t xml:space="preserve">than full</w:t>
      </w:r>
      <w:r>
        <w:t xml:space="preserve"> </w:t>
      </w:r>
      <w:r>
        <w:t xml:space="preserve">replacement.</w:t>
      </w:r>
    </w:p>
    <w:p>
      <w:pPr>
        <w:pStyle w:val="FirstParagraph"/>
      </w:pPr>
      <w:r>
        <w:t xml:space="preserve">Verdict (developed below, from the bootstrap in §6.3):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H4 — qualified / not supported as a Sharpe claim</w:t>
      </w:r>
      <w:r>
        <w:t xml:space="preserve">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</w:t>
      </w:r>
      <w:r>
        <w:t xml:space="preserve"> </w:t>
      </w:r>
      <w:r>
        <w:t xml:space="preserve">a 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 there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validation is</w:t>
      </w:r>
      <w:r>
        <w:t xml:space="preserve"> </w:t>
      </w:r>
      <w:r>
        <w:rPr>
          <w:bCs/>
          <w:b/>
        </w:rPr>
        <w:t xml:space="preserve">almost independent of the monitoring band</w:t>
      </w:r>
      <w:r>
        <w:t xml:space="preserve">, because VZ's recorded target</w:t>
      </w:r>
      <w:r>
        <w:t xml:space="preserve"> </w:t>
      </w:r>
      <w:r>
        <w:t xml:space="preserve">drift drives most rebalances and the band only triggers between recorded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analysis/ap5_validation_band_sensitivity.csv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(ann.)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±8% (main-model band)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</w:tr>
    </w:tbl>
    <w:p>
      <w:pPr>
        <w:pStyle w:val="BodyText"/>
      </w:pPr>
      <w:r>
        <w:t xml:space="preserve">So the excellent validation is</w:t>
      </w:r>
      <w:r>
        <w:t xml:space="preserve"> </w:t>
      </w:r>
      <w:r>
        <w:rPr>
          <w:bCs/>
          <w:b/>
        </w:rPr>
        <w:t xml:space="preserve">not an artefact of the tight 5% band</w:t>
      </w:r>
      <w:r>
        <w:t xml:space="preserve"> </w:t>
      </w:r>
      <w:r>
        <w:t xml:space="preserve">— it holds equally at the</w:t>
      </w:r>
      <w:r>
        <w:t xml:space="preserve"> </w:t>
      </w:r>
      <w:r>
        <w:t xml:space="preserve">±8% base band used by the main model.</w:t>
      </w:r>
    </w:p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4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2026-08-16T21:44:45Z</dcterms:created>
  <dcterms:modified xsi:type="dcterms:W3CDTF">2026-08-16T21:44:45Z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