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maximum drawdown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below, from the bootstrap in §6.3):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supported</w:t>
      </w:r>
      <w:r>
        <w:t xml:space="preserve"> </w:t>
      </w:r>
      <w:r>
        <w:t xml:space="preserve">— return rises monotonically with replacement (point estimates).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distribution consistently favours worse drawdowns</w:t>
      </w:r>
      <w:r>
        <w:t xml:space="preserve"> </w:t>
      </w:r>
      <w:r>
        <w:t xml:space="preserve">(P(worse) rising to 91%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 not conventionally significant at the 5% level.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H2b — supported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≈95% by a 20% replacement and ≈100% beyond.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(this is a descriptive, not a formally tested, interaction).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— qualified</w:t>
      </w:r>
      <w:r>
        <w:t xml:space="preserve">: partial replacement is the better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but the risk-adjusted</w:t>
      </w:r>
      <w:r>
        <w:t xml:space="preserve"> </w:t>
      </w:r>
      <w:r>
        <w:t xml:space="preserve">(Sharpe) differences across low-to-moderate replacement are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, so we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claim a 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Base case ±20%; §7 shows the conclusion is</w:t>
      </w:r>
      <w:r>
        <w:t xml:space="preserve"> </w:t>
      </w:r>
      <w:r>
        <w:t xml:space="preserve">insensitive to ±5/8/10/15/20%.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investors,</w:t>
      </w:r>
      <w:r>
        <w:t xml:space="preserve"> </w:t>
      </w:r>
      <w:r>
        <w:t xml:space="preserve">though CHF-hedged UCITS equivalents exist). 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that satisfy this rule with full 2008 history; convertibles are a candidate class analysed</w:t>
      </w:r>
      <w:r>
        <w:t xml:space="preserve"> </w:t>
      </w:r>
      <w:r>
        <w:t xml:space="preserve">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The broad-vs-short contrast in R3 (−2.0% vs</w:t>
      </w:r>
      <w:r>
        <w:t xml:space="preserve"> </w:t>
      </w:r>
      <w:r>
        <w:t xml:space="preserve">−0.8%) is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roughly</w:t>
      </w:r>
      <w:r>
        <w:rPr>
          <w:bCs/>
          <w:b/>
        </w:rPr>
        <w:t xml:space="preserve"> </w:t>
      </w:r>
      <w:r>
        <w:rPr>
          <w:bCs/>
          <w:b/>
        </w:rPr>
        <w:t xml:space="preserve">unchanged Sharpe.</w:t>
      </w:r>
      <w:r>
        <w:t xml:space="preserve"> </w:t>
      </w:r>
      <w:r>
        <w:t xml:space="preserve">That clean monotonic trade-off is the central finding.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median [5%, 95%]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P(ΔSharpe&gt;0)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ΔMaxDD 95% CI · P(worse)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[−0.03, +0.04]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[−2.4pp, +1.2pp] · 73%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[−0.07, +0.07]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[−5.8pp, +2.0pp] · 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−0.018 [−0.13, +0.11]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[−11.8pp, +1.4pp] · 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 ΔSharpe</w:t>
      </w:r>
      <w:r>
        <w:t xml:space="preserve"> </w:t>
      </w:r>
      <w:r>
        <w:t xml:space="preserve">CI straddles 0).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under more replacement but its</w:t>
      </w:r>
      <w:r>
        <w:t xml:space="preserve"> </w:t>
      </w:r>
      <w:r>
        <w:rPr>
          <w:bCs/>
          <w:b/>
        </w:rPr>
        <w:t xml:space="preserve">95% interval still</w:t>
      </w:r>
      <w:r>
        <w:rPr>
          <w:bCs/>
          <w:b/>
        </w:rPr>
        <w:t xml:space="preserve"> </w:t>
      </w:r>
      <w:r>
        <w:rPr>
          <w:bCs/>
          <w:b/>
        </w:rPr>
        <w:t xml:space="preserve">includes zero</w:t>
      </w:r>
      <w:r>
        <w:t xml:space="preserve"> </w:t>
      </w:r>
      <w:r>
        <w:t xml:space="preserve">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</w:t>
      </w:r>
      <w:r>
        <w:t xml:space="preserve"> </w:t>
      </w:r>
      <w:r>
        <w:t xml:space="preserve">with ≈95–100% probability from a 20% replacement onward (H2b supported).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 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(partial preferred; full deepens downside) is 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(±5/8/10/15/20%), transaction cost</w:t>
      </w:r>
      <w:r>
        <w:t xml:space="preserve"> </w:t>
      </w:r>
      <w:r>
        <w:t xml:space="preserve">(0–50 bps), the CHF-hedge assumption (hedged vs unhedged HY/EM), and the 2008–09 short-bond</w:t>
      </w:r>
      <w:r>
        <w:t xml:space="preserve"> </w:t>
      </w:r>
      <w:r>
        <w:t xml:space="preserve">splice (full sample vs 2010+) — two facts hold in every case:</w:t>
      </w:r>
      <w:r>
        <w:t xml:space="preserve"> </w:t>
      </w:r>
      <w:r>
        <w:rPr>
          <w:bCs/>
          <w:b/>
        </w:rPr>
        <w:t xml:space="preserve">partial replacement (20%)</w:t>
      </w:r>
      <w:r>
        <w:rPr>
          <w:bCs/>
          <w:b/>
        </w:rPr>
        <w:t xml:space="preserve"> </w:t>
      </w:r>
      <w:r>
        <w:rPr>
          <w:bCs/>
          <w:b/>
        </w:rPr>
        <w:t xml:space="preserve">matches or slightly beats AP5 on Sharpe</w:t>
      </w:r>
      <w:r>
        <w:t xml:space="preserve">, and</w:t>
      </w:r>
      <w:r>
        <w:t xml:space="preserve"> </w:t>
      </w:r>
      <w:r>
        <w:rPr>
          <w:bCs/>
          <w:b/>
        </w:rPr>
        <w:t xml:space="preserve">full replacement deepens the drawdown</w:t>
      </w:r>
      <w:r>
        <w:t xml:space="preserve">. The</w:t>
      </w:r>
      <w:r>
        <w:t xml:space="preserve"> </w:t>
      </w:r>
      <w:r>
        <w:t xml:space="preserve">qualitative conclusion is robust</w:t>
      </w:r>
      <w:r>
        <w:t xml:space="preserve"> </w:t>
      </w:r>
      <w:r>
        <w:rPr>
          <w:iCs/>
          <w:i/>
        </w:rPr>
        <w:t xml:space="preserve">to the tested variations</w:t>
      </w:r>
      <w:r>
        <w:t xml:space="preserve"> </w:t>
      </w:r>
      <w:r>
        <w:t xml:space="preserve">(not a proof of robustness to all</w:t>
      </w:r>
      <w:r>
        <w:t xml:space="preserve"> </w:t>
      </w:r>
      <w:r>
        <w:t xml:space="preserve">specification uncertainty). Hedging HY/EM does help: unhedged, the full-replacement Sharpe</w:t>
      </w:r>
      <w:r>
        <w:t xml:space="preserve"> </w:t>
      </w:r>
      <w:r>
        <w:t xml:space="preserve">falls from ~0.46 to ~0.44.</w:t>
      </w:r>
    </w:p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matters as much as the replacement fraction</w:t>
      </w:r>
      <w:r>
        <w:t xml:space="preserve"> </w:t>
      </w:r>
      <w:r>
        <w:t xml:space="preserve">— a</w:t>
      </w:r>
      <w:r>
        <w:t xml:space="preserve"> </w:t>
      </w:r>
      <w:r>
        <w:t xml:space="preserve">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The point estimate of Sharpe peaks around a</w:t>
      </w:r>
      <w:r>
        <w:t xml:space="preserve"> </w:t>
      </w:r>
      <w:r>
        <w:rPr>
          <w:bCs/>
          <w:b/>
        </w:rPr>
        <w:t xml:space="preserve">20%</w:t>
      </w:r>
      <w:r>
        <w:t xml:space="preserve"> </w:t>
      </w:r>
      <w:r>
        <w:t xml:space="preserve">replacement, but the study does</w:t>
      </w:r>
      <w:r>
        <w:t xml:space="preserve"> </w:t>
      </w:r>
      <w:r>
        <w:rPr>
          <w:bCs/>
          <w:b/>
        </w:rPr>
        <w:t xml:space="preserve">not statistically distinguish 20%, 30% and 40%</w:t>
      </w:r>
      <w:r>
        <w:t xml:space="preserve"> </w:t>
      </w:r>
      <w:r>
        <w:t xml:space="preserve">—</w:t>
      </w:r>
      <w:r>
        <w:t xml:space="preserve"> </w:t>
      </w:r>
      <w:r>
        <w:t xml:space="preserve">so a low-to-moderate replacement is the most attractive historical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not a unique</w:t>
      </w:r>
      <w:r>
        <w:t xml:space="preserve"> </w:t>
      </w:r>
      <w:r>
        <w:t xml:space="preserve">optimum.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4"/>
        </w:numPr>
        <w:pStyle w:val="Compact"/>
      </w:pPr>
      <w:r>
        <w:t xml:space="preserve">Instrument selection matters (§8), but should be validated out-of-sample before use.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2026-08-16T20:11:45Z</dcterms:created>
  <dcterms:modified xsi:type="dcterms:W3CDTF">2026-08-16T20:11:45Z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