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Alternatives to bonds — empirical foundation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3" w:name="X9fd6e3ec88a1adefb0c171cff299bcf7ae96119"/>
    <w:p>
      <w:pPr>
        <w:pStyle w:val="Heading1"/>
      </w:pPr>
      <w:r>
        <w:t xml:space="preserve">Alternatives to bonds in a low-rate environment — empirical foundation (2008–2026)</w:t>
      </w:r>
    </w:p>
    <w:p>
      <w:pPr>
        <w:pStyle w:val="FirstParagraph"/>
      </w:pPr>
      <w:r>
        <w:rPr>
          <w:bCs/>
          <w:b/>
        </w:rPr>
        <w:t xml:space="preserve">HEC Lausanne · MSc Finance thesis · CHF, monthly total return, net of fees</w:t>
      </w:r>
    </w:p>
    <w:p>
      <w:pPr>
        <w:pStyle w:val="BlockText"/>
      </w:pPr>
      <w:r>
        <w:t xml:space="preserve">Reframed brief (agreed with the thesis director, Aug 2026): find</w:t>
      </w:r>
      <w:r>
        <w:t xml:space="preserve"> </w:t>
      </w:r>
      <w:r>
        <w:rPr>
          <w:bCs/>
          <w:b/>
        </w:rPr>
        <w:t xml:space="preserve">alternatives to the</w:t>
      </w:r>
      <w:r>
        <w:rPr>
          <w:bCs/>
          <w:b/>
        </w:rPr>
        <w:t xml:space="preserve"> </w:t>
      </w:r>
      <w:r>
        <w:rPr>
          <w:bCs/>
          <w:b/>
        </w:rPr>
        <w:t xml:space="preserve">bond sleeve</w:t>
      </w:r>
      <w:r>
        <w:t xml:space="preserve"> </w:t>
      </w:r>
      <w:r>
        <w:t xml:space="preserve">and replace it</w:t>
      </w:r>
      <w:r>
        <w:t xml:space="preserve"> </w:t>
      </w:r>
      <w:r>
        <w:rPr>
          <w:bCs/>
          <w:b/>
        </w:rPr>
        <w:t xml:space="preserve">over the whole 2008–2026 period</w:t>
      </w:r>
      <w:r>
        <w:t xml:space="preserve">, then read the results</w:t>
      </w:r>
      <w:r>
        <w:t xml:space="preserve"> </w:t>
      </w:r>
      <w:r>
        <w:rPr>
          <w:bCs/>
          <w:b/>
        </w:rPr>
        <w:t xml:space="preserve">regime by regime</w:t>
      </w:r>
      <w:r>
        <w:t xml:space="preserve">. The bond problem is not only low rates — when rates</w:t>
      </w:r>
      <w:r>
        <w:t xml:space="preserve"> </w:t>
      </w:r>
      <w:r>
        <w:rPr>
          <w:iCs/>
          <w:i/>
        </w:rPr>
        <w:t xml:space="preserve">rise</w:t>
      </w:r>
      <w:r>
        <w:t xml:space="preserve"> </w:t>
      </w:r>
      <w:r>
        <w:t xml:space="preserve">bonds</w:t>
      </w:r>
      <w:r>
        <w:t xml:space="preserve"> </w:t>
      </w:r>
      <w:r>
        <w:t xml:space="preserve">also lose — so the analysis must comment on bond behaviour across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SNB regime, not</w:t>
      </w:r>
      <w:r>
        <w:t xml:space="preserve"> </w:t>
      </w:r>
      <w:r>
        <w:t xml:space="preserve">only the low-rate windows. This removes the need for a contested "low-rate threshold".</w:t>
      </w:r>
    </w:p>
    <w:p>
      <w:r>
        <w:pict>
          <v:rect style="width:0;height:1.5pt" o:hralign="center" o:hrstd="t" o:hr="t"/>
        </w:pict>
      </w:r>
    </w:p>
    <w:bookmarkStart w:id="20" w:name="X412dda37e299d038f3e86cf16f3170b2a9ceadc"/>
    <w:p>
      <w:pPr>
        <w:pStyle w:val="Heading2"/>
      </w:pPr>
      <w:r>
        <w:t xml:space="preserve">1. What this is</w:t>
      </w:r>
    </w:p>
    <w:p>
      <w:pPr>
        <w:pStyle w:val="FirstParagraph"/>
      </w:pPr>
      <w:r>
        <w:t xml:space="preserve">An empirical replication of the</w:t>
      </w:r>
      <w:r>
        <w:t xml:space="preserve"> </w:t>
      </w:r>
      <w:r>
        <w:rPr>
          <w:bCs/>
          <w:b/>
        </w:rPr>
        <w:t xml:space="preserve">VZ AP5</w:t>
      </w:r>
      <w:r>
        <w:t xml:space="preserve"> </w:t>
      </w:r>
      <w:r>
        <w:t xml:space="preserve">mandate (VZ Säule 3a mit ETF,</w:t>
      </w:r>
      <w:r>
        <w:t xml:space="preserve"> </w:t>
      </w:r>
      <w:r>
        <w:rPr>
          <w:iCs/>
          <w:i/>
        </w:rPr>
        <w:t xml:space="preserve">Anlegerprofil 5</w:t>
      </w:r>
      <w:r>
        <w:t xml:space="preserve">)</w:t>
      </w:r>
      <w:r>
        <w:t xml:space="preserve"> </w:t>
      </w:r>
      <w:r>
        <w:t xml:space="preserve">built from the</w:t>
      </w:r>
      <w:r>
        <w:t xml:space="preserve"> </w:t>
      </w:r>
      <w:r>
        <w:rPr>
          <w:bCs/>
          <w:b/>
        </w:rPr>
        <w:t xml:space="preserve">Bloomberg constituent indices</w:t>
      </w:r>
      <w:r>
        <w:t xml:space="preserve"> </w:t>
      </w:r>
      <w:r>
        <w:t xml:space="preserve">the analyst obtained, extended back to</w:t>
      </w:r>
      <w:r>
        <w:t xml:space="preserve"> </w:t>
      </w:r>
      <w:r>
        <w:rPr>
          <w:bCs/>
          <w:b/>
        </w:rPr>
        <w:t xml:space="preserve">January 2008</w:t>
      </w:r>
      <w:r>
        <w:t xml:space="preserve"> </w:t>
      </w:r>
      <w:r>
        <w:t xml:space="preserve">and run with</w:t>
      </w:r>
      <w:r>
        <w:t xml:space="preserve"> </w:t>
      </w:r>
      <w:r>
        <w:rPr>
          <w:bCs/>
          <w:b/>
        </w:rPr>
        <w:t xml:space="preserve">VZ Smart Rebalancing</w:t>
      </w:r>
      <w:r>
        <w:t xml:space="preserve">. The 40.75% bond sleeve is then</w:t>
      </w:r>
      <w:r>
        <w:t xml:space="preserve"> </w:t>
      </w:r>
      <w:r>
        <w:t xml:space="preserve">replaced — in steps of 0 / 33 / 66 / 100% — by a diversified basket of</w:t>
      </w:r>
      <w:r>
        <w:t xml:space="preserve"> </w:t>
      </w:r>
      <w:r>
        <w:rPr>
          <w:bCs/>
          <w:b/>
        </w:rPr>
        <w:t xml:space="preserve">investable</w:t>
      </w:r>
      <w:r>
        <w:rPr>
          <w:bCs/>
          <w:b/>
        </w:rPr>
        <w:t xml:space="preserve"> </w:t>
      </w:r>
      <w:r>
        <w:rPr>
          <w:bCs/>
          <w:b/>
        </w:rPr>
        <w:t xml:space="preserve">alternatives</w:t>
      </w:r>
      <w:r>
        <w:t xml:space="preserve">, and every portfolio is measured</w:t>
      </w:r>
      <w:r>
        <w:t xml:space="preserve"> </w:t>
      </w:r>
      <w:r>
        <w:rPr>
          <w:bCs/>
          <w:b/>
        </w:rPr>
        <w:t xml:space="preserve">net of the agreed fee load</w:t>
      </w:r>
      <w:r>
        <w:t xml:space="preserve"> </w:t>
      </w:r>
      <w:r>
        <w:t xml:space="preserve">across the</w:t>
      </w:r>
      <w:r>
        <w:t xml:space="preserve"> </w:t>
      </w:r>
      <w:r>
        <w:t xml:space="preserve">four SNB rate regimes.</w:t>
      </w:r>
    </w:p>
    <w:p>
      <w:pPr>
        <w:pStyle w:val="BodyText"/>
      </w:pPr>
      <w:r>
        <w:t xml:space="preserve">Everything is reproducible:</w:t>
      </w:r>
      <w:r>
        <w:t xml:space="preserve"> </w:t>
      </w:r>
      <w:r>
        <w:rPr>
          <w:rStyle w:val="VerbatimChar"/>
        </w:rPr>
        <w:t xml:space="preserve">python src/data_bloomberg.py &amp;&amp; python src/data_alternatives.py &amp;&amp; python src/build_panel.py &amp;&amp; python src/analysis_2008.py</w:t>
      </w:r>
    </w:p>
    <w:bookmarkEnd w:id="20"/>
    <w:bookmarkStart w:id="21" w:name="X7dbdd55a5c383ce2f28e7a5962718e15eaae471"/>
    <w:p>
      <w:pPr>
        <w:pStyle w:val="Heading2"/>
      </w:pPr>
      <w:r>
        <w:t xml:space="preserve">2. Data (real, not synthetic)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AP5 constituents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Bloomberg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data/bloomberg/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SBI AAA-BBB (Swiss bonds), Bloomberg Global Aggregate</w:t>
            </w:r>
            <w:r>
              <w:t xml:space="preserve"> </w:t>
            </w:r>
            <w:r>
              <w:rPr>
                <w:bCs/>
                <w:b/>
              </w:rPr>
              <w:t xml:space="preserve">CHF-hedged</w:t>
            </w:r>
            <w:r>
              <w:t xml:space="preserve"> </w:t>
            </w:r>
            <w:r>
              <w:t xml:space="preserve">(world bonds), SPI (Swiss equity), MSCI World (foreign equity), SXI Real Estate Funds — monthly CHF total return from 2008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 rates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SNB + Fed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monthly, used for regimes, the CHF cash index and hedge carry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VZ AP5 track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VZ</w:t>
            </w:r>
            <w:r>
              <w:t xml:space="preserve"> </w:t>
            </w:r>
            <w:r>
              <w:t xml:space="preserve">(VVIA)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product NAV 2019–2026 — used to</w:t>
            </w:r>
            <w:r>
              <w:t xml:space="preserve"> </w:t>
            </w:r>
            <w:r>
              <w:rPr>
                <w:bCs/>
                <w:b/>
              </w:rPr>
              <w:t xml:space="preserve">validate</w:t>
            </w:r>
            <w:r>
              <w:t xml:space="preserve"> </w:t>
            </w:r>
            <w:r>
              <w:t xml:space="preserve">the reconstruction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Allocation 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real AP5 target and its drift 2017–2026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ETF/fund proxies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§5 — the</w:t>
            </w:r>
            <w:r>
              <w:t xml:space="preserve"> </w:t>
            </w:r>
            <w:r>
              <w:rPr>
                <w:iCs/>
                <w:i/>
              </w:rPr>
              <w:t xml:space="preserve">replaceable, net-of-fee</w:t>
            </w:r>
            <w:r>
              <w:t xml:space="preserve"> </w:t>
            </w:r>
            <w:r>
              <w:t xml:space="preserve">instruments the director asked for</w:t>
            </w:r>
          </w:p>
        </w:tc>
      </w:tr>
    </w:tbl>
    <w:p>
      <w:pPr>
        <w:pStyle w:val="BodyText"/>
      </w:pPr>
      <w:r>
        <w:t xml:space="preserve">Foreign equity is a Bloomberg</w:t>
      </w:r>
      <w:r>
        <w:t xml:space="preserve"> </w:t>
      </w:r>
      <w:r>
        <w:rPr>
          <w:iCs/>
          <w:i/>
        </w:rPr>
        <w:t xml:space="preserve">price</w:t>
      </w:r>
      <w:r>
        <w:t xml:space="preserve"> </w:t>
      </w:r>
      <w:r>
        <w:t xml:space="preserve">index in USD; it is converted to a CHF total-return</w:t>
      </w:r>
      <w:r>
        <w:t xml:space="preserve"> </w:t>
      </w:r>
      <w:r>
        <w:t xml:space="preserve">proxy (× USD/CHF, plus a constant dividend yield). Because the equity/real-estate/cash</w:t>
      </w:r>
      <w:r>
        <w:t xml:space="preserve"> </w:t>
      </w:r>
      <w:r>
        <w:rPr>
          <w:bCs/>
          <w:b/>
        </w:rPr>
        <w:t xml:space="preserve">core is identical in every portfolio compared</w:t>
      </w:r>
      <w:r>
        <w:t xml:space="preserve">, this proxy cancels in all AP5-vs-</w:t>
      </w:r>
      <w:r>
        <w:t xml:space="preserve"> </w:t>
      </w:r>
      <w:r>
        <w:t xml:space="preserve">replacement contrasts; it only matters for the validation, where it performs well (§4).</w:t>
      </w:r>
    </w:p>
    <w:bookmarkEnd w:id="21"/>
    <w:bookmarkStart w:id="22" w:name="Xeae2dc85413e447d2c08d145b986cffc1f454f7"/>
    <w:p>
      <w:pPr>
        <w:pStyle w:val="Heading2"/>
      </w:pPr>
      <w:r>
        <w:t xml:space="preserve">3. Method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Strategic AP5 target</w:t>
      </w:r>
      <w:r>
        <w:t xml:space="preserve"> </w:t>
      </w:r>
      <w:r>
        <w:t xml:space="preserve">(current VVIA,</w:t>
      </w:r>
      <w:r>
        <w:t xml:space="preserve"> </w:t>
      </w:r>
      <w:r>
        <w:rPr>
          <w:rStyle w:val="VerbatimChar"/>
        </w:rPr>
        <w:t xml:space="preserve">Consolidation_allocations.xlsx</w:t>
      </w:r>
      <w:r>
        <w:t xml:space="preserve">): foreign equity</w:t>
      </w:r>
      <w:r>
        <w:t xml:space="preserve"> </w:t>
      </w:r>
      <w:r>
        <w:t xml:space="preserve">26.25%, Swiss equity 25%, real estate 5%,</w:t>
      </w:r>
      <w:r>
        <w:t xml:space="preserve"> </w:t>
      </w:r>
      <w:r>
        <w:rPr>
          <w:bCs/>
          <w:b/>
        </w:rPr>
        <w:t xml:space="preserve">world bonds 23.95%, Swiss bonds 16.8%</w:t>
      </w:r>
      <w:r>
        <w:t xml:space="preserve"> </w:t>
      </w:r>
      <w:r>
        <w:t xml:space="preserve">(bond sleeve =</w:t>
      </w:r>
      <w:r>
        <w:t xml:space="preserve"> </w:t>
      </w:r>
      <w:r>
        <w:rPr>
          <w:bCs/>
          <w:b/>
        </w:rPr>
        <w:t xml:space="preserve">40.75%</w:t>
      </w:r>
      <w:r>
        <w:t xml:space="preserve">), cash 3%. Applied unchanged back to 2008 per the director.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VZ Smart Rebalancing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engine.py</w:t>
      </w:r>
      <w:r>
        <w:t xml:space="preserve">): predefined</w:t>
      </w:r>
      <w:r>
        <w:t xml:space="preserve"> </w:t>
      </w:r>
      <w:r>
        <w:rPr>
          <w:bCs/>
          <w:b/>
        </w:rPr>
        <w:t xml:space="preserve">±20% relative bands</w:t>
      </w:r>
      <w:r>
        <w:t xml:space="preserve">, monthly</w:t>
      </w:r>
      <w:r>
        <w:t xml:space="preserve"> </w:t>
      </w:r>
      <w:r>
        <w:t xml:space="preserve">monitoring; the book snaps back to target only when a sleeve leaves its band (confirmed by</w:t>
      </w:r>
      <w:r>
        <w:t xml:space="preserve"> </w:t>
      </w:r>
      <w:r>
        <w:t xml:space="preserve">the VZ</w:t>
      </w:r>
      <w:r>
        <w:t xml:space="preserve"> </w:t>
      </w:r>
      <w:r>
        <w:rPr>
          <w:iCs/>
          <w:i/>
        </w:rPr>
        <w:t xml:space="preserve">Kundendoku</w:t>
      </w:r>
      <w:r>
        <w:t xml:space="preserve"> </w:t>
      </w:r>
      <w:r>
        <w:t xml:space="preserve">slide and the PM's email). 10 bps one-way transaction cost.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Fees</w:t>
      </w:r>
      <w:r>
        <w:t xml:space="preserve">: a constant</w:t>
      </w:r>
      <w:r>
        <w:t xml:space="preserve"> </w:t>
      </w:r>
      <w:r>
        <w:rPr>
          <w:bCs/>
          <w:b/>
        </w:rPr>
        <w:t xml:space="preserve">1.37%/yr</w:t>
      </w:r>
      <w:r>
        <w:t xml:space="preserve"> </w:t>
      </w:r>
      <w:r>
        <w:t xml:space="preserve">load =</w:t>
      </w:r>
      <w:r>
        <w:t xml:space="preserve"> </w:t>
      </w:r>
      <w:r>
        <w:rPr>
          <w:bCs/>
          <w:b/>
        </w:rPr>
        <w:t xml:space="preserve">0.12% product + 1.25% management</w:t>
      </w:r>
      <w:r>
        <w:t xml:space="preserve"> </w:t>
      </w:r>
      <w:r>
        <w:t xml:space="preserve">(the figures</w:t>
      </w:r>
      <w:r>
        <w:t xml:space="preserve"> </w:t>
      </w:r>
      <w:r>
        <w:t xml:space="preserve">agreed with the internship director), applied as a monthly drag to every portfolio.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Replacement by steps</w:t>
      </w:r>
      <w:r>
        <w:t xml:space="preserve"> </w:t>
      </w:r>
      <w:r>
        <w:t xml:space="preserve">(no need to justify the steps): move 0 / 33 / 66 / 100% of the</w:t>
      </w:r>
      <w:r>
        <w:t xml:space="preserve"> </w:t>
      </w:r>
      <w:r>
        <w:t xml:space="preserve">40.75% bond sleeve into the diversified basket; the equity/RE/cash core stays fixed.</w:t>
      </w:r>
    </w:p>
    <w:bookmarkEnd w:id="22"/>
    <w:bookmarkStart w:id="23" w:name="Xebd90aab6cff0072370d5b94cb023da18005f89"/>
    <w:p>
      <w:pPr>
        <w:pStyle w:val="Heading2"/>
      </w:pPr>
      <w:r>
        <w:t xml:space="preserve">4. Validation — the reconstruction is real</w:t>
      </w:r>
    </w:p>
    <w:p>
      <w:pPr>
        <w:pStyle w:val="FirstParagraph"/>
      </w:pPr>
      <w:r>
        <w:t xml:space="preserve">Reconstructed AP5 (indices → Smart Rebalancing → net of fees, using VZ's</w:t>
      </w:r>
      <w:r>
        <w:t xml:space="preserve"> </w:t>
      </w:r>
      <w:r>
        <w:rPr>
          <w:bCs/>
          <w:b/>
        </w:rPr>
        <w:t xml:space="preserve">real allocation</w:t>
      </w:r>
      <w:r>
        <w:rPr>
          <w:bCs/>
          <w:b/>
        </w:rPr>
        <w:t xml:space="preserve"> </w:t>
      </w:r>
      <w:r>
        <w:rPr>
          <w:bCs/>
          <w:b/>
        </w:rPr>
        <w:t xml:space="preserve">drift</w:t>
      </w:r>
      <w:r>
        <w:t xml:space="preserve"> </w:t>
      </w:r>
      <w:r>
        <w:t xml:space="preserve">for the validation window) vs the</w:t>
      </w:r>
      <w:r>
        <w:t xml:space="preserve"> </w:t>
      </w:r>
      <w:r>
        <w:rPr>
          <w:bCs/>
          <w:b/>
        </w:rPr>
        <w:t xml:space="preserve">actual VZ VVIA track record</w:t>
      </w:r>
      <w:r>
        <w:t xml:space="preserve">, 2019–2026 (85</w:t>
      </w:r>
      <w:r>
        <w:t xml:space="preserve"> </w:t>
      </w:r>
      <w:r>
        <w:t xml:space="preserve">months, fig. 02):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Correlation of monthly returns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Annualised tracking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absolute monthly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return: reconstruction vs real VZ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+24.9% vs +21.1%</w:t>
            </w:r>
          </w:p>
        </w:tc>
      </w:tr>
    </w:tbl>
    <w:p>
      <w:pPr>
        <w:pStyle w:val="BodyText"/>
      </w:pPr>
      <w:r>
        <w:rPr>
          <w:bCs/>
          <w:b/>
        </w:rPr>
        <w:t xml:space="preserve">Is 2.5%/yr tracking error acceptable?</w:t>
      </w:r>
      <w:r>
        <w:t xml:space="preserve"> </w:t>
      </w:r>
      <w:r>
        <w:t xml:space="preserve">Yes, for this purpose. Context: a passive index</w:t>
      </w:r>
      <w:r>
        <w:t xml:space="preserve"> </w:t>
      </w:r>
      <w:r>
        <w:t xml:space="preserve">fund tracks its benchmark at ~0.1–0.5%/yr; an</w:t>
      </w:r>
      <w:r>
        <w:t xml:space="preserve"> </w:t>
      </w:r>
      <w:r>
        <w:rPr>
          <w:iCs/>
          <w:i/>
        </w:rPr>
        <w:t xml:space="preserve">active</w:t>
      </w:r>
      <w:r>
        <w:t xml:space="preserve"> </w:t>
      </w:r>
      <w:r>
        <w:t xml:space="preserve">fund runs 2–6%/yr; a</w:t>
      </w:r>
      <w:r>
        <w:t xml:space="preserve"> </w:t>
      </w:r>
      <w:r>
        <w:rPr>
          <w:bCs/>
          <w:b/>
        </w:rPr>
        <w:t xml:space="preserve">proxy</w:t>
      </w:r>
      <w:r>
        <w:rPr>
          <w:bCs/>
          <w:b/>
        </w:rPr>
        <w:t xml:space="preserve"> </w:t>
      </w:r>
      <w:r>
        <w:rPr>
          <w:bCs/>
          <w:b/>
        </w:rPr>
        <w:t xml:space="preserve">reconstruction that uses different instruments</w:t>
      </w:r>
      <w:r>
        <w:t xml:space="preserve"> </w:t>
      </w:r>
      <w:r>
        <w:t xml:space="preserve">(public index series, not VZ's exact</w:t>
      </w:r>
      <w:r>
        <w:t xml:space="preserve"> </w:t>
      </w:r>
      <w:r>
        <w:t xml:space="preserve">CHF-share-class ETFs) and public data sits naturally in the 2–3% range. We decomposed it:</w:t>
      </w:r>
      <w:r>
        <w:t xml:space="preserve"> </w:t>
      </w:r>
      <w:r>
        <w:t xml:space="preserve">the residual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tactical drift (using VZ's real allocation path only moved it</w:t>
      </w:r>
      <w:r>
        <w:t xml:space="preserve"> </w:t>
      </w:r>
      <w:r>
        <w:t xml:space="preserve">2.7% → 2.5%) — it is the</w:t>
      </w:r>
      <w:r>
        <w:t xml:space="preserve"> </w:t>
      </w:r>
      <w:r>
        <w:rPr>
          <w:bCs/>
          <w:b/>
        </w:rPr>
        <w:t xml:space="preserve">foreign-equity leg</w:t>
      </w:r>
      <w:r>
        <w:t xml:space="preserve">, a USD</w:t>
      </w:r>
      <w:r>
        <w:t xml:space="preserve"> </w:t>
      </w:r>
      <w:r>
        <w:rPr>
          <w:iCs/>
          <w:i/>
        </w:rPr>
        <w:t xml:space="preserve">price</w:t>
      </w:r>
      <w:r>
        <w:t xml:space="preserve"> </w:t>
      </w:r>
      <w:r>
        <w:t xml:space="preserve">index converted with spot FX</w:t>
      </w:r>
      <w:r>
        <w:t xml:space="preserve"> </w:t>
      </w:r>
      <w:r>
        <w:t xml:space="preserve">and a constant dividend, standing in for 51% of the book. Two things make this immaterial to</w:t>
      </w:r>
      <w:r>
        <w:t xml:space="preserve"> </w:t>
      </w:r>
      <w:r>
        <w:t xml:space="preserve">the thesis: (i) the equity/RE/cash</w:t>
      </w:r>
      <w:r>
        <w:t xml:space="preserve"> </w:t>
      </w:r>
      <w:r>
        <w:rPr>
          <w:bCs/>
          <w:b/>
        </w:rPr>
        <w:t xml:space="preserve">core is identical in AP5 and in every replacement</w:t>
      </w:r>
      <w:r>
        <w:rPr>
          <w:bCs/>
          <w:b/>
        </w:rPr>
        <w:t xml:space="preserve"> </w:t>
      </w:r>
      <w:r>
        <w:rPr>
          <w:bCs/>
          <w:b/>
        </w:rPr>
        <w:t xml:space="preserve">book, so this proxy error cancels exactly in all comparisons</w:t>
      </w:r>
      <w:r>
        <w:t xml:space="preserve">; (ii) the reconstruction</w:t>
      </w:r>
      <w:r>
        <w:t xml:space="preserve"> </w:t>
      </w:r>
      <w:r>
        <w:t xml:space="preserve">still reproduces AP5's</w:t>
      </w:r>
      <w:r>
        <w:t xml:space="preserve"> </w:t>
      </w:r>
      <w:r>
        <w:rPr>
          <w:iCs/>
          <w:i/>
        </w:rPr>
        <w:t xml:space="preserve">dynamics</w:t>
      </w:r>
      <w:r>
        <w:t xml:space="preserve"> </w:t>
      </w:r>
      <w:r>
        <w:t xml:space="preserve">— correlation 0.95 and a visual match through COVID, the</w:t>
      </w:r>
      <w:r>
        <w:t xml:space="preserve"> </w:t>
      </w:r>
      <w:r>
        <w:t xml:space="preserve">2022 sell-off and the recovery. That is all the validation needs to do: license extending</w:t>
      </w:r>
      <w:r>
        <w:t xml:space="preserve"> </w:t>
      </w:r>
      <w:r>
        <w:t xml:space="preserve">the same machinery back to 2008.</w:t>
      </w:r>
    </w:p>
    <w:bookmarkEnd w:id="23"/>
    <w:bookmarkStart w:id="24" w:name="X2c98f18d7c29c18ca7e6f7bc02b4ef741af2ba5"/>
    <w:p>
      <w:pPr>
        <w:pStyle w:val="Heading2"/>
      </w:pPr>
      <w:r>
        <w:t xml:space="preserve">5. The alternatives (investable, long-history, net-of-fee)</w:t>
      </w:r>
    </w:p>
    <w:p>
      <w:pPr>
        <w:pStyle w:val="FirstParagraph"/>
      </w:pPr>
      <w:r>
        <w:t xml:space="preserve">Equal-weight basket of the</w:t>
      </w:r>
      <w:r>
        <w:t xml:space="preserve"> </w:t>
      </w:r>
      <w:r>
        <w:rPr>
          <w:bCs/>
          <w:b/>
        </w:rPr>
        <w:t xml:space="preserve">six</w:t>
      </w:r>
      <w:r>
        <w:t xml:space="preserve"> </w:t>
      </w:r>
      <w:r>
        <w:t xml:space="preserve">instruments with a clean investable history to 2008</w:t>
      </w:r>
      <w:r>
        <w:t xml:space="preserve"> </w:t>
      </w:r>
      <w:r>
        <w:t xml:space="preserve">(convertibles start 2009 and are analysed separately). Descriptive statistics 2008–2026: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 (proxy)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CHF 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bonds</w:t>
            </w:r>
            <w:r>
              <w:t xml:space="preserve"> </w:t>
            </w:r>
            <w:r>
              <w:rPr>
                <w:iCs/>
                <w:i/>
              </w:rPr>
              <w:t xml:space="preserve">(SBI AAA-BBB)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sleeve replaced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bonds</w:t>
            </w:r>
            <w:r>
              <w:t xml:space="preserve"> </w:t>
            </w:r>
            <w:r>
              <w:rPr>
                <w:iCs/>
                <w:i/>
              </w:rPr>
              <w:t xml:space="preserve">(Global Agg, hedged)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sleeve replaced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CHF-hedged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−18.5%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</w:t>
            </w:r>
            <w:r>
              <w:t xml:space="preserve"> </w:t>
            </w:r>
            <w:r>
              <w:rPr>
                <w:iCs/>
                <w:i/>
              </w:rPr>
              <w:t xml:space="preserve">(GLD)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hedge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unhedged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Commodities</w:t>
            </w:r>
            <w:r>
              <w:t xml:space="preserve"> </w:t>
            </w:r>
            <w:r>
              <w:rPr>
                <w:iCs/>
                <w:i/>
              </w:rPr>
              <w:t xml:space="preserve">(DBC)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unhedged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−75.7%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</w:t>
            </w:r>
            <w:r>
              <w:t xml:space="preserve"> </w:t>
            </w:r>
            <w:r>
              <w:rPr>
                <w:iCs/>
                <w:i/>
              </w:rPr>
              <w:t xml:space="preserve">(IGF)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unhedged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</w:t>
            </w:r>
            <w:r>
              <w:t xml:space="preserve"> </w:t>
            </w:r>
            <w:r>
              <w:rPr>
                <w:iCs/>
                <w:i/>
              </w:rPr>
              <w:t xml:space="preserve">(RYMFX)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crisis-alpha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unhedged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yield</w:t>
            </w:r>
            <w:r>
              <w:t xml:space="preserve"> </w:t>
            </w:r>
            <w:r>
              <w:rPr>
                <w:iCs/>
                <w:i/>
              </w:rPr>
              <w:t xml:space="preserve">(HYG)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CHF-hedged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 debt</w:t>
            </w:r>
            <w:r>
              <w:t xml:space="preserve"> </w:t>
            </w:r>
            <w:r>
              <w:rPr>
                <w:iCs/>
                <w:i/>
              </w:rPr>
              <w:t xml:space="preserve">(EMB)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CHF-hedged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Convertibles (CWB, from 2009)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unhedged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−24.0%</w:t>
            </w:r>
          </w:p>
        </w:tc>
      </w:tr>
    </w:tbl>
    <w:p>
      <w:pPr>
        <w:pStyle w:val="BodyText"/>
      </w:pPr>
      <w:r>
        <w:t xml:space="preserve">Only fixed-income-like replacements (HY, EM debt) are</w:t>
      </w:r>
      <w:r>
        <w:t xml:space="preserve"> </w:t>
      </w:r>
      <w:r>
        <w:rPr>
          <w:bCs/>
          <w:b/>
        </w:rPr>
        <w:t xml:space="preserve">CHF-hedged</w:t>
      </w:r>
      <w:r>
        <w:t xml:space="preserve">, mirroring VZ's rule</w:t>
      </w:r>
      <w:r>
        <w:t xml:space="preserve"> </w:t>
      </w:r>
      <w:r>
        <w:t xml:space="preserve">that</w:t>
      </w:r>
      <w:r>
        <w:t xml:space="preserve"> </w:t>
      </w:r>
      <w:r>
        <w:rPr>
          <w:iCs/>
          <w:i/>
        </w:rPr>
        <w:t xml:space="preserve">only bonds are hedged to CHF</w:t>
      </w:r>
      <w:r>
        <w:t xml:space="preserve"> </w:t>
      </w:r>
      <w:r>
        <w:t xml:space="preserve">(PM email). Honest note:</w:t>
      </w:r>
      <w:r>
        <w:t xml:space="preserve"> </w:t>
      </w:r>
      <w:r>
        <w:rPr>
          <w:bCs/>
          <w:b/>
        </w:rPr>
        <w:t xml:space="preserve">commodities and managed</w:t>
      </w:r>
      <w:r>
        <w:rPr>
          <w:bCs/>
          <w:b/>
        </w:rPr>
        <w:t xml:space="preserve"> </w:t>
      </w:r>
      <w:r>
        <w:rPr>
          <w:bCs/>
          <w:b/>
        </w:rPr>
        <w:t xml:space="preserve">futures lost money outright over 2008–2026</w:t>
      </w:r>
      <w:r>
        <w:t xml:space="preserve"> </w:t>
      </w:r>
      <w:r>
        <w:t xml:space="preserve">— they diversify but are not free; the basket</w:t>
      </w:r>
      <w:r>
        <w:t xml:space="preserve"> </w:t>
      </w:r>
      <w:r>
        <w:t xml:space="preserve">carries them at equal weight so results are not cherry-picked.</w:t>
      </w:r>
    </w:p>
    <w:bookmarkEnd w:id="24"/>
    <w:bookmarkStart w:id="25" w:name="X044e60878fa0d363219aacadc3f191ef3c194ac"/>
    <w:p>
      <w:pPr>
        <w:pStyle w:val="Heading2"/>
      </w:pPr>
      <w:r>
        <w:t xml:space="preserve">6. The core problem, seen regime by regime</w:t>
      </w:r>
    </w:p>
    <w:p>
      <w:pPr>
        <w:pStyle w:val="FirstParagraph"/>
      </w:pPr>
      <w:r>
        <w:t xml:space="preserve">The bond sleeve's own annualised return in each SNB regime (fig. 05) — this is the problem</w:t>
      </w:r>
      <w:r>
        <w:t xml:space="preserve"> </w:t>
      </w:r>
      <w:r>
        <w:t xml:space="preserve">the thesis targets, and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confined to low rates: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SNB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bonds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bonds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2008–14</w:t>
            </w:r>
            <w:r>
              <w:t xml:space="preserve"> </w:t>
            </w:r>
            <w:r>
              <w:t xml:space="preserve">low 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2015–22</w:t>
            </w:r>
            <w:r>
              <w:t xml:space="preserve"> </w:t>
            </w:r>
            <w:r>
              <w:t xml:space="preserve">negative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2022–24</w:t>
            </w:r>
            <w:r>
              <w:t xml:space="preserve"> </w:t>
            </w:r>
            <w:r>
              <w:t xml:space="preserve">hikes &amp; plateau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+2.9%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2024–26</w:t>
            </w:r>
            <w:r>
              <w:t xml:space="preserve"> </w:t>
            </w:r>
            <w:r>
              <w:t xml:space="preserve">easing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</w:tbl>
    <w:p>
      <w:pPr>
        <w:pStyle w:val="BodyText"/>
      </w:pPr>
      <w:r>
        <w:t xml:space="preserve">Bonds delivered their defensive premium</w:t>
      </w:r>
      <w:r>
        <w:t xml:space="preserve"> </w:t>
      </w:r>
      <w:r>
        <w:rPr>
          <w:bCs/>
          <w:b/>
        </w:rPr>
        <w:t xml:space="preserve">only when rates fell (R1)</w:t>
      </w:r>
      <w:r>
        <w:t xml:space="preserve">. In the negative-rate</w:t>
      </w:r>
      <w:r>
        <w:t xml:space="preserve"> </w:t>
      </w:r>
      <w:r>
        <w:t xml:space="preserve">era (R2) the whole fixed-income + cash sleeve earned</w:t>
      </w:r>
      <w:r>
        <w:t xml:space="preserve"> </w:t>
      </w:r>
      <w:r>
        <w:rPr>
          <w:bCs/>
          <w:b/>
        </w:rPr>
        <w:t xml:space="preserve">≈ 0 or less</w:t>
      </w:r>
      <w:r>
        <w:t xml:space="preserve">; when rates</w:t>
      </w:r>
      <w:r>
        <w:t xml:space="preserve"> </w:t>
      </w:r>
      <w:r>
        <w:rPr>
          <w:iCs/>
          <w:i/>
        </w:rPr>
        <w:t xml:space="preserve">rose</w:t>
      </w:r>
      <w:r>
        <w:t xml:space="preserve"> </w:t>
      </w:r>
      <w:r>
        <w:t xml:space="preserve">(R3)</w:t>
      </w:r>
      <w:r>
        <w:t xml:space="preserve"> </w:t>
      </w:r>
      <w:r>
        <w:t xml:space="preserve">world bonds</w:t>
      </w:r>
      <w:r>
        <w:t xml:space="preserve"> </w:t>
      </w:r>
      <w:r>
        <w:rPr>
          <w:bCs/>
          <w:b/>
        </w:rPr>
        <w:t xml:space="preserve">lost 2%/yr</w:t>
      </w:r>
      <w:r>
        <w:t xml:space="preserve"> </w:t>
      </w:r>
      <w:r>
        <w:t xml:space="preserve">on duration. Swiss bonds were more resilient than world bonds in</w:t>
      </w:r>
      <w:r>
        <w:t xml:space="preserve"> </w:t>
      </w:r>
      <w:r>
        <w:t xml:space="preserve">R3 — the two are correlated (</w:t>
      </w:r>
      <w:r>
        <w:rPr>
          <w:bCs/>
          <w:b/>
        </w:rPr>
        <w:t xml:space="preserve">0.79</w:t>
      </w:r>
      <w:r>
        <w:t xml:space="preserve">) but</w:t>
      </w:r>
      <w:r>
        <w:t xml:space="preserve"> </w:t>
      </w:r>
      <w:r>
        <w:rPr>
          <w:bCs/>
          <w:b/>
        </w:rPr>
        <w:t xml:space="preserve">not redundant</w:t>
      </w:r>
      <w:r>
        <w:t xml:space="preserve">, so the sleeve should keep both</w:t>
      </w:r>
      <w:r>
        <w:t xml:space="preserve"> </w:t>
      </w:r>
      <w:r>
        <w:t xml:space="preserve">rather than collapse to a single index.</w:t>
      </w:r>
    </w:p>
    <w:bookmarkEnd w:id="25"/>
    <w:bookmarkStart w:id="26" w:name="X78fa6579887e33eed2ef1eb81714ba055f5699b"/>
    <w:p>
      <w:pPr>
        <w:pStyle w:val="Heading2"/>
      </w:pPr>
      <w:r>
        <w:t xml:space="preserve">7. Does replacing bonds help? — regime by regime</w:t>
      </w:r>
    </w:p>
    <w:p>
      <w:pPr>
        <w:pStyle w:val="FirstParagraph"/>
      </w:pPr>
      <w:r>
        <w:t xml:space="preserve">Net-of-fee annualised return, AP5 vs replacement steps (fig. 04):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(bonds strong)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replacement</w:t>
            </w:r>
            <w:r>
              <w:t xml:space="preserve"> </w:t>
            </w:r>
            <w:r>
              <w:rPr>
                <w:bCs/>
                <w:b/>
              </w:rPr>
              <w:t xml:space="preserve">costs</w:t>
            </w:r>
            <w:r>
              <w:t xml:space="preserve"> </w:t>
            </w:r>
            <w:r>
              <w:t xml:space="preserve">you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(negative)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replacement</w:t>
            </w:r>
            <w:r>
              <w:t xml:space="preserve"> </w:t>
            </w:r>
            <w:r>
              <w:rPr>
                <w:bCs/>
                <w:b/>
              </w:rPr>
              <w:t xml:space="preserve">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(hikes)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roughly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(easing)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replacement</w:t>
            </w:r>
            <w:r>
              <w:t xml:space="preserve"> </w:t>
            </w:r>
            <w:r>
              <w:rPr>
                <w:bCs/>
                <w:b/>
              </w:rPr>
              <w:t xml:space="preserve">wins</w:t>
            </w:r>
          </w:p>
        </w:tc>
      </w:tr>
    </w:tbl>
    <w:p>
      <w:pPr>
        <w:pStyle w:val="BodyText"/>
      </w:pPr>
      <w:r>
        <w:t xml:space="preserve">Full period, net of fees: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CVaR₉₅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AP5 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66%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−7.0%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honest headline:</w:t>
      </w:r>
      <w:r>
        <w:t xml:space="preserve"> </w:t>
      </w:r>
      <w:r>
        <w:t xml:space="preserve">over the</w:t>
      </w:r>
      <w:r>
        <w:t xml:space="preserve"> </w:t>
      </w:r>
      <w:r>
        <w:rPr>
          <w:iCs/>
          <w:i/>
        </w:rPr>
        <w:t xml:space="preserve">full</w:t>
      </w:r>
      <w:r>
        <w:t xml:space="preserve"> </w:t>
      </w:r>
      <w:r>
        <w:t xml:space="preserve">2008–2026 cycle, replacing bonds adds</w:t>
      </w:r>
      <w:r>
        <w:t xml:space="preserve"> </w:t>
      </w:r>
      <w:r>
        <w:rPr>
          <w:bCs/>
          <w:b/>
        </w:rPr>
        <w:t xml:space="preserve">return but</w:t>
      </w:r>
      <w:r>
        <w:rPr>
          <w:bCs/>
          <w:b/>
        </w:rPr>
        <w:t xml:space="preserve"> </w:t>
      </w:r>
      <w:r>
        <w:rPr>
          <w:bCs/>
          <w:b/>
        </w:rPr>
        <w:t xml:space="preserve">proportional risk</w:t>
      </w:r>
      <w:r>
        <w:t xml:space="preserve"> </w:t>
      </w:r>
      <w:r>
        <w:t xml:space="preserve">— Sharpe is essentially flat (0.51 → 0.49) and drawdown worsens by</w:t>
      </w:r>
      <w:r>
        <w:t xml:space="preserve"> </w:t>
      </w:r>
      <w:r>
        <w:t xml:space="preserve">~7.5pp at full replacement. There is</w:t>
      </w:r>
      <w:r>
        <w:t xml:space="preserve"> </w:t>
      </w:r>
      <w:r>
        <w:rPr>
          <w:bCs/>
          <w:b/>
        </w:rPr>
        <w:t xml:space="preserve">no free lunch across the whole sample</w:t>
      </w:r>
      <w:r>
        <w:t xml:space="preserve">. The value of</w:t>
      </w:r>
      <w:r>
        <w:t xml:space="preserve"> </w:t>
      </w:r>
      <w:r>
        <w:t xml:space="preserve">replacement is</w:t>
      </w:r>
      <w:r>
        <w:t xml:space="preserve"> </w:t>
      </w:r>
      <w:r>
        <w:rPr>
          <w:bCs/>
          <w:b/>
        </w:rPr>
        <w:t xml:space="preserve">conditional on the regime</w:t>
      </w:r>
      <w:r>
        <w:t xml:space="preserve">: it is strongly positive precisely in the</w:t>
      </w:r>
      <w:r>
        <w:t xml:space="preserve"> </w:t>
      </w:r>
      <w:r>
        <w:t xml:space="preserve">regimes the thesis cares about (negative rates R2, easing R4), neutral during hikes (R3),</w:t>
      </w:r>
      <w:r>
        <w:t xml:space="preserve"> </w:t>
      </w:r>
      <w:r>
        <w:t xml:space="preserve">and negative only when bonds do their job (falling rates, R1).</w:t>
      </w:r>
    </w:p>
    <w:bookmarkEnd w:id="26"/>
    <w:bookmarkStart w:id="27" w:name="X62b8802b4238e1608cf5d4dfb0b7104f067c793"/>
    <w:p>
      <w:pPr>
        <w:pStyle w:val="Heading2"/>
      </w:pPr>
      <w:r>
        <w:t xml:space="preserve">8. Recommendation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 not replace the bond sleeve wholesale.</w:t>
      </w:r>
      <w:r>
        <w:t xml:space="preserve"> </w:t>
      </w:r>
      <w:r>
        <w:t xml:space="preserve">Full replacement buys 0.7%/yr of return for</w:t>
      </w:r>
      <w:r>
        <w:t xml:space="preserve"> </w:t>
      </w:r>
      <w:r>
        <w:t xml:space="preserve">7.5pp more drawdown and no Sharpe gain over the cycle.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partial replacement (≈ 33–66%) is the balanced choice</w:t>
      </w:r>
      <w:r>
        <w:t xml:space="preserve">: it captures most of the</w:t>
      </w:r>
      <w:r>
        <w:t xml:space="preserve"> </w:t>
      </w:r>
      <w:r>
        <w:t xml:space="preserve">regime upside (R2/R4) while limiting the drawdown penalty, and it keeps a bond core for</w:t>
      </w:r>
      <w:r>
        <w:t xml:space="preserve"> </w:t>
      </w:r>
      <w:r>
        <w:t xml:space="preserve">the flight-to-quality regimes (R1-type falling-rate shocks).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Keep both bond sub-indices.</w:t>
      </w:r>
      <w:r>
        <w:t xml:space="preserve"> </w:t>
      </w:r>
      <w:r>
        <w:t xml:space="preserve">Swiss and world bonds diverge in the hiking regime and are</w:t>
      </w:r>
      <w:r>
        <w:t xml:space="preserve"> </w:t>
      </w:r>
      <w:r>
        <w:t xml:space="preserve">only 0.79 correlated — the sleeve is not reducible to one index.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Mind the weak diversifiers.</w:t>
      </w:r>
      <w:r>
        <w:t xml:space="preserve"> </w:t>
      </w:r>
      <w:r>
        <w:t xml:space="preserve">Equal-weighting commodities and managed futures (both</w:t>
      </w:r>
      <w:r>
        <w:t xml:space="preserve"> </w:t>
      </w:r>
      <w:r>
        <w:t xml:space="preserve">negative over the sample) drags the basket; a curated basket (gold + credit + real income)</w:t>
      </w:r>
      <w:r>
        <w:t xml:space="preserve"> </w:t>
      </w:r>
      <w:r>
        <w:t xml:space="preserve">would likely dominate the naïve one — a natural robustness extension.</w:t>
      </w:r>
    </w:p>
    <w:bookmarkEnd w:id="27"/>
    <w:bookmarkStart w:id="28" w:name="X11f254a2d92837369045f65cfe7bdd5ff672ce0"/>
    <w:p>
      <w:pPr>
        <w:pStyle w:val="Heading2"/>
      </w:pPr>
      <w:r>
        <w:t xml:space="preserve">8b. Basket construction matters — curated vs naïve (fig. 08)</w:t>
      </w:r>
    </w:p>
    <w:p>
      <w:pPr>
        <w:pStyle w:val="FirstParagraph"/>
      </w:pPr>
      <w:r>
        <w:t xml:space="preserve">The naïve basket equal-weights all six alternatives, including the two that</w:t>
      </w:r>
      <w:r>
        <w:t xml:space="preserve"> </w:t>
      </w:r>
      <w:r>
        <w:rPr>
          <w:bCs/>
          <w:b/>
        </w:rPr>
        <w:t xml:space="preserve">lost money</w:t>
      </w:r>
      <w:r>
        <w:t xml:space="preserve"> </w:t>
      </w:r>
      <w:r>
        <w:t xml:space="preserve">over 2008–2026 (commodities −1.6%, managed futures −0.7%). A</w:t>
      </w:r>
      <w:r>
        <w:t xml:space="preserve"> </w:t>
      </w:r>
      <w:r>
        <w:rPr>
          <w:bCs/>
          <w:b/>
        </w:rPr>
        <w:t xml:space="preserve">curated</w:t>
      </w:r>
      <w:r>
        <w:t xml:space="preserve"> </w:t>
      </w:r>
      <w:r>
        <w:t xml:space="preserve">basket that drops</w:t>
      </w:r>
      <w:r>
        <w:t xml:space="preserve"> </w:t>
      </w:r>
      <w:r>
        <w:t xml:space="preserve">those two and tilts toward the defensive credit carry plus a gold hedge — the instruments</w:t>
      </w:r>
      <w:r>
        <w:t xml:space="preserve"> </w:t>
      </w:r>
      <w:r>
        <w:t xml:space="preserve">that actually resemble a</w:t>
      </w:r>
      <w:r>
        <w:t xml:space="preserve"> </w:t>
      </w:r>
      <w:r>
        <w:rPr>
          <w:iCs/>
          <w:i/>
        </w:rPr>
        <w:t xml:space="preserve">bond</w:t>
      </w:r>
      <w:r>
        <w:t xml:space="preserve"> </w:t>
      </w:r>
      <w:r>
        <w:t xml:space="preserve">replacement — dominates it at every step (net of fees):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AP5 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−19.3%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100% —</w:t>
            </w:r>
            <w:r>
              <w:t xml:space="preserve"> </w:t>
            </w:r>
            <w:r>
              <w:rPr>
                <w:bCs/>
                <w:b/>
              </w:rPr>
              <w:t xml:space="preserve">naïve</w:t>
            </w:r>
            <w:r>
              <w:t xml:space="preserve"> </w:t>
            </w:r>
            <w:r>
              <w:t xml:space="preserve">(equal-weight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−26.8%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100% —</w:t>
            </w:r>
            <w:r>
              <w:t xml:space="preserve"> </w:t>
            </w:r>
            <w:r>
              <w:rPr>
                <w:bCs/>
                <w:b/>
              </w:rPr>
              <w:t xml:space="preserve">curated</w:t>
            </w:r>
            <w:r>
              <w:t xml:space="preserve"> </w:t>
            </w:r>
            <w:r>
              <w:t xml:space="preserve">(HY 35 / EM 30 / gold 20 / infra 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−26.6%</w:t>
            </w:r>
          </w:p>
        </w:tc>
      </w:tr>
    </w:tbl>
    <w:p>
      <w:pPr>
        <w:pStyle w:val="BodyText"/>
      </w:pPr>
      <w:r>
        <w:t xml:space="preserve">The curated basket lifts Sharpe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the AP5 benchmark (0.55 vs 0.51) at every</w:t>
      </w:r>
      <w:r>
        <w:t xml:space="preserve"> </w:t>
      </w:r>
      <w:r>
        <w:t xml:space="preserve">replacement step, where the naïve basket did not. Lesson for the thesis: the replacement</w:t>
      </w:r>
      <w:r>
        <w:t xml:space="preserve"> </w:t>
      </w:r>
      <w:r>
        <w:t xml:space="preserve">result is</w:t>
      </w:r>
      <w:r>
        <w:t xml:space="preserve"> </w:t>
      </w:r>
      <w:r>
        <w:rPr>
          <w:bCs/>
          <w:b/>
        </w:rPr>
        <w:t xml:space="preserve">as much about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which</w:t>
      </w:r>
      <w:r>
        <w:rPr>
          <w:bCs/>
          <w:b/>
        </w:rPr>
        <w:t xml:space="preserve"> </w:t>
      </w:r>
      <w:r>
        <w:rPr>
          <w:bCs/>
          <w:b/>
        </w:rPr>
        <w:t xml:space="preserve">alternatives as about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how much</w:t>
      </w:r>
      <w:r>
        <w:t xml:space="preserve"> </w:t>
      </w:r>
      <w:r>
        <w:t xml:space="preserve">— a point worth making</w:t>
      </w:r>
      <w:r>
        <w:t xml:space="preserve"> </w:t>
      </w:r>
      <w:r>
        <w:t xml:space="preserve">explicitly, and a natural place to note that even the curated basket still carries more</w:t>
      </w:r>
      <w:r>
        <w:t xml:space="preserve"> </w:t>
      </w:r>
      <w:r>
        <w:t xml:space="preserve">drawdown than the bond core, so a partial replacement remains the balanced call.</w:t>
      </w:r>
    </w:p>
    <w:bookmarkEnd w:id="28"/>
    <w:bookmarkStart w:id="29" w:name="Xbedd3294f9d2e8dce55c4c3cf13276f8343698c"/>
    <w:p>
      <w:pPr>
        <w:pStyle w:val="Heading2"/>
      </w:pPr>
      <w:r>
        <w:t xml:space="preserve">Appendix A. Optimisation (secondary / theoretical)</w:t>
      </w:r>
    </w:p>
    <w:p>
      <w:pPr>
        <w:pStyle w:val="FirstParagraph"/>
      </w:pPr>
      <w:r>
        <w:t xml:space="preserve">Kept out of the headline at the director's request. If one optimises the 40.75% sleeve</w:t>
      </w:r>
      <w:r>
        <w:t xml:space="preserve"> </w:t>
      </w:r>
      <w:r>
        <w:t xml:space="preserve">in-sample over 2008–2026 (equity/RE/cash core fixed, across bonds + the six alternatives,</w:t>
      </w:r>
      <w:r>
        <w:t xml:space="preserve"> </w:t>
      </w:r>
      <w:r>
        <w:t xml:space="preserve">realistic caps;</w:t>
      </w:r>
      <w:r>
        <w:t xml:space="preserve"> </w:t>
      </w:r>
      <w:r>
        <w:rPr>
          <w:rStyle w:val="VerbatimChar"/>
        </w:rPr>
        <w:t xml:space="preserve">src/appendix_optimization.py</w:t>
      </w:r>
      <w:r>
        <w:t xml:space="preserve">), net of fees: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Optimised sleeve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Sleeve 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Min-variance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−19.5%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 world bonds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Min-CVaR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−19.5%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 world bonds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Max-Sharpe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−18.4%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29% Swiss bonds + 12% gold (cap)</w:t>
            </w:r>
          </w:p>
        </w:tc>
      </w:tr>
    </w:tbl>
    <w:p>
      <w:pPr>
        <w:pStyle w:val="BodyText"/>
      </w:pPr>
      <w:r>
        <w:t xml:space="preserve">The message reinforces the main analysis rather than competing with it: given free rein and</w:t>
      </w:r>
      <w:r>
        <w:t xml:space="preserve"> </w:t>
      </w:r>
      <w:r>
        <w:t xml:space="preserve">full hindsight, the risk-minimising optimisers</w:t>
      </w:r>
      <w:r>
        <w:t xml:space="preserve"> </w:t>
      </w:r>
      <w:r>
        <w:rPr>
          <w:bCs/>
          <w:b/>
        </w:rPr>
        <w:t xml:space="preserve">keep the sleeve entirely in bonds</w:t>
      </w:r>
      <w:r>
        <w:t xml:space="preserve">, and</w:t>
      </w:r>
      <w:r>
        <w:t xml:space="preserve"> </w:t>
      </w:r>
      <w:r>
        <w:t xml:space="preserve">the return-maximising one keeps a large Swiss-bond position plus a capped gold hedge —</w:t>
      </w:r>
      <w:r>
        <w:t xml:space="preserve"> </w:t>
      </w:r>
      <w:r>
        <w:rPr>
          <w:iCs/>
          <w:i/>
        </w:rPr>
        <w:t xml:space="preserve">no</w:t>
      </w:r>
      <w:r>
        <w:rPr>
          <w:iCs/>
          <w:i/>
        </w:rPr>
        <w:t xml:space="preserve"> </w:t>
      </w:r>
      <w:r>
        <w:rPr>
          <w:iCs/>
          <w:i/>
        </w:rPr>
        <w:t xml:space="preserve">optimiser abandons bonds wholesale</w:t>
      </w:r>
      <w:r>
        <w:t xml:space="preserve">. These weights are</w:t>
      </w:r>
      <w:r>
        <w:t xml:space="preserve"> </w:t>
      </w:r>
      <w:r>
        <w:rPr>
          <w:bCs/>
          <w:b/>
        </w:rPr>
        <w:t xml:space="preserve">in-sample and optimistic</w:t>
      </w:r>
      <w:r>
        <w:t xml:space="preserve"> </w:t>
      </w:r>
      <w:r>
        <w:t xml:space="preserve">(they</w:t>
      </w:r>
      <w:r>
        <w:t xml:space="preserve"> </w:t>
      </w:r>
      <w:r>
        <w:t xml:space="preserve">see the whole path); they are a descriptive upper bound, not an implementable rule, which is</w:t>
      </w:r>
      <w:r>
        <w:t xml:space="preserve"> </w:t>
      </w:r>
      <w:r>
        <w:t xml:space="preserve">exactly why the analysis leads with the transparent step/curated books instead.</w:t>
      </w:r>
    </w:p>
    <w:bookmarkEnd w:id="29"/>
    <w:bookmarkStart w:id="30" w:name="X8217baefd33493549be6b6ef7131a2863d59e90"/>
    <w:p>
      <w:pPr>
        <w:pStyle w:val="Heading2"/>
      </w:pPr>
      <w:r>
        <w:t xml:space="preserve">9. Caveats</w:t>
      </w:r>
    </w:p>
    <w:p>
      <w:pPr>
        <w:pStyle w:val="FirstParagraph"/>
      </w:pPr>
      <w:r>
        <w:t xml:space="preserve">Investable ETF/fund proxies (not the exact VZ funds); monthly frequency understates</w:t>
      </w:r>
      <w:r>
        <w:t xml:space="preserve"> </w:t>
      </w:r>
      <w:r>
        <w:t xml:space="preserve">intra-month drawdowns; foreign equity is a USD-price index converted to CHF TR (cancels in</w:t>
      </w:r>
      <w:r>
        <w:t xml:space="preserve"> </w:t>
      </w:r>
      <w:r>
        <w:t xml:space="preserve">comparisons, validated at 0.94 corr); convertibles start 2009; commodity/CTA proxies bear</w:t>
      </w:r>
      <w:r>
        <w:t xml:space="preserve"> </w:t>
      </w:r>
      <w:r>
        <w:t xml:space="preserve">real tracking error to institutional vehicles; single historical path. Portfolio</w:t>
      </w:r>
      <w:r>
        <w:t xml:space="preserve"> </w:t>
      </w:r>
      <w:r>
        <w:t xml:space="preserve">optimisation is deliberately kept as a</w:t>
      </w:r>
      <w:r>
        <w:t xml:space="preserve"> </w:t>
      </w:r>
      <w:r>
        <w:rPr>
          <w:bCs/>
          <w:b/>
        </w:rPr>
        <w:t xml:space="preserve">secondary/appendix</w:t>
      </w:r>
      <w:r>
        <w:t xml:space="preserve"> </w:t>
      </w:r>
      <w:r>
        <w:t xml:space="preserve">exercise (the director judged</w:t>
      </w:r>
      <w:r>
        <w:t xml:space="preserve"> </w:t>
      </w:r>
      <w:r>
        <w:t xml:space="preserve">it too theoretical to headline). Academic reproduction, not investment advice.</w:t>
      </w:r>
    </w:p>
    <w:p>
      <w:pPr>
        <w:pStyle w:val="BodyText"/>
      </w:pPr>
      <w:r>
        <w:t xml:space="preserve">\newpage</w:t>
      </w:r>
    </w:p>
    <w:bookmarkEnd w:id="30"/>
    <w:bookmarkStart w:id="52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Cumulative CHF total return, net of fees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1_cumulative_2008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Validation: reconstructed AP5 vs the real VZ VVIA track record.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2_ap5_validati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Annualised return by SNB rate regime.</w:t>
      </w:r>
    </w:p>
    <w:p>
      <w:pPr>
        <w:pStyle w:val="BodyText"/>
      </w:pPr>
      <w:r>
        <w:drawing>
          <wp:inline>
            <wp:extent cx="5334000" cy="269507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4_regime_return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Bond-sleeve behaviour by rate regime.</w:t>
      </w:r>
    </w:p>
    <w:p>
      <w:pPr>
        <w:pStyle w:val="BodyText"/>
      </w:pPr>
      <w:r>
        <w:drawing>
          <wp:inline>
            <wp:extent cx="5334000" cy="2582778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5_bonds_by_regim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Monthly return correlations (2008–2026).</w:t>
      </w:r>
    </w:p>
    <w:p>
      <w:pPr>
        <w:pStyle w:val="BodyText"/>
      </w:pPr>
      <w:r>
        <w:drawing>
          <wp:inline>
            <wp:extent cx="5334000" cy="4553414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6_correlation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6 — Rolling 24-month equity–bond correlation.</w:t>
      </w:r>
    </w:p>
    <w:p>
      <w:pPr>
        <w:pStyle w:val="BodyText"/>
      </w:pPr>
      <w:r>
        <w:drawing>
          <wp:inline>
            <wp:extent cx="5334000" cy="2245894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7_rolling_cor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5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7 — Curated vs naïve replacement basket (100% replaced).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8_curated_vs_naiv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Alternatives to bonds — empirical foundation (VZ AP5, 2008–2026)</dc:title>
  <dc:creator/>
  <cp:keywords/>
  <dcterms:created xsi:type="dcterms:W3CDTF">2026-08-16T14:05:03Z</dcterms:created>
  <dcterms:modified xsi:type="dcterms:W3CDTF">2026-08-16T14:05:03Z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