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TE résiduelle provient surtout du volet actions étrangères</w:t>
      </w:r>
      <w:r>
        <w:t xml:space="preserve"> </w:t>
      </w:r>
      <w:r>
        <w:t xml:space="preserve">(indice de prix USD converti en CHF)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</w:tbl>
    <w:p>
      <w:pPr>
        <w:pStyle w:val="BodyText"/>
      </w:pPr>
      <w:r>
        <w:t xml:space="preserve">Les obligations n'ont joué leur rôle défensif</w:t>
      </w:r>
      <w:r>
        <w:t xml:space="preserve"> </w:t>
      </w:r>
      <w:r>
        <w:rPr>
          <w:bCs/>
          <w:b/>
        </w:rPr>
        <w:t xml:space="preserve">que lorsque les taux baissaient (R1)</w:t>
      </w:r>
      <w:r>
        <w:t xml:space="preserve">. En</w:t>
      </w:r>
      <w:r>
        <w:t xml:space="preserve"> </w:t>
      </w:r>
      <w:r>
        <w:t xml:space="preserve">régime négatif (R2) la poche a rapporté ≈ 0 ; lorsque les taux</w:t>
      </w:r>
      <w:r>
        <w:t xml:space="preserve"> </w:t>
      </w:r>
      <w:r>
        <w:rPr>
          <w:bCs/>
          <w:b/>
        </w:rPr>
        <w:t xml:space="preserve">montent (R3)</w:t>
      </w:r>
      <w:r>
        <w:t xml:space="preserve">, les obligations</w:t>
      </w:r>
      <w:r>
        <w:t xml:space="preserve"> </w:t>
      </w:r>
      <w:r>
        <w:t xml:space="preserve">mondiales larges perdent</w:t>
      </w:r>
      <w:r>
        <w:t xml:space="preserve"> </w:t>
      </w:r>
      <w:r>
        <w:rPr>
          <w:bCs/>
          <w:b/>
        </w:rPr>
        <w:t xml:space="preserve">2 %/an</w:t>
      </w:r>
      <w:r>
        <w:t xml:space="preserve"> </w:t>
      </w:r>
      <w:r>
        <w:t xml:space="preserve">— mais la tranche</w:t>
      </w:r>
      <w:r>
        <w:t xml:space="preserve"> </w:t>
      </w:r>
      <w:r>
        <w:rPr>
          <w:bCs/>
          <w:b/>
        </w:rPr>
        <w:t xml:space="preserve">courte (1-5) ne perd que −0,8 %</w:t>
      </w:r>
      <w:r>
        <w:t xml:space="preserve"> </w:t>
      </w:r>
      <w:r>
        <w:t xml:space="preserve">: la</w:t>
      </w:r>
      <w:r>
        <w:t xml:space="preserve"> </w:t>
      </w:r>
      <w:r>
        <w:t xml:space="preserve">duration est le canal.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inchangé</w:t>
      </w:r>
      <w:r>
        <w:t xml:space="preserve"> </w:t>
      </w:r>
      <w:r>
        <w:t xml:space="preserve">(CAGR 3,43 %→4,30 %,</w:t>
      </w:r>
      <w:r>
        <w:t xml:space="preserve"> </w:t>
      </w:r>
      <w:r>
        <w:t xml:space="preserve">MaxDD −20,6 %→−27,7 %, Sharpe ≈0,47).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(les IC de ΔSharpe englobent 0) ; en revanche</w:t>
      </w:r>
      <w:r>
        <w:t xml:space="preserve"> </w:t>
      </w:r>
      <w:r>
        <w:t xml:space="preserve">le remplacement</w:t>
      </w:r>
      <w:r>
        <w:t xml:space="preserve"> </w:t>
      </w:r>
      <w:r>
        <w:rPr>
          <w:bCs/>
          <w:b/>
        </w:rPr>
        <w:t xml:space="preserve">creuse le drawdown de façon fiable</w:t>
      </w:r>
      <w:r>
        <w:t xml:space="preserve"> </w:t>
      </w:r>
      <w:r>
        <w:t xml:space="preserve">(probabilité jusqu'à</w:t>
      </w:r>
      <w:r>
        <w:t xml:space="preserve"> </w:t>
      </w:r>
      <w:r>
        <w:rPr>
          <w:bCs/>
          <w:b/>
        </w:rPr>
        <w:t xml:space="preserve">91 %</w:t>
      </w:r>
      <w:r>
        <w:t xml:space="preserve"> </w:t>
      </w:r>
      <w:r>
        <w:t xml:space="preserve">à 100 %).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(−10,4 % vs AP5 −6,9 %)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(−6,6 % vs −11,9 %).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Un remplacement</w:t>
      </w:r>
      <w:r>
        <w:t xml:space="preserve"> </w:t>
      </w:r>
      <w:r>
        <w:rPr>
          <w:bCs/>
          <w:b/>
        </w:rPr>
        <w:t xml:space="preserve">faible à</w:t>
      </w:r>
      <w:r>
        <w:rPr>
          <w:bCs/>
          <w:b/>
        </w:rPr>
        <w:t xml:space="preserve"> </w:t>
      </w:r>
      <w:r>
        <w:rPr>
          <w:bCs/>
          <w:b/>
        </w:rPr>
        <w:t xml:space="preserve">modéré (≈ 20–40 %)</w:t>
      </w:r>
      <w:r>
        <w:t xml:space="preserve"> </w:t>
      </w:r>
      <w:r>
        <w:t xml:space="preserve">offre le meilleur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rendement–risque historique — mais</w:t>
      </w:r>
      <w:r>
        <w:t xml:space="preserve"> </w:t>
      </w:r>
      <w:r>
        <w:t xml:space="preserve">l'analyse</w:t>
      </w:r>
      <w:r>
        <w:t xml:space="preserve"> </w:t>
      </w:r>
      <w:r>
        <w:rPr>
          <w:bCs/>
          <w:b/>
        </w:rPr>
        <w:t xml:space="preserve">n'identifie pas de ratio optimal statistiquement unique</w:t>
      </w:r>
      <w:r>
        <w:t xml:space="preserve"> </w:t>
      </w:r>
      <w:r>
        <w:t xml:space="preserve">(écarts de Sharpe dans</w:t>
      </w:r>
      <w:r>
        <w:t xml:space="preserve"> </w:t>
      </w:r>
      <w:r>
        <w:t xml:space="preserve">le bruit du bootstrap).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 (drawdown fiablement</w:t>
      </w:r>
      <w:r>
        <w:t xml:space="preserve"> </w:t>
      </w:r>
      <w:r>
        <w:t xml:space="preserve">pire, pas de gain de Sharpe fiable, perte de la protection « fuite vers la qualité » de 2020).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0,53),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 conclusion survit à toutes les variations (bande, coûts, couverture,</w:t>
      </w:r>
      <w:r>
        <w:t xml:space="preserve"> </w:t>
      </w:r>
      <w:r>
        <w:t xml:space="preserve">raccord 2008-09).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2026-08-16T19:45:48Z</dcterms:created>
  <dcterms:modified xsi:type="dcterms:W3CDTF">2026-08-16T19:45:48Z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