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6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Alternatives to bonds — empirical foundation (VZ AP5, 2008–2026)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" w:name="Xb1f37158e267ed6e827c04c0c125bb419623807"/>
    <w:p>
      <w:pPr>
        <w:pStyle w:val="Heading1"/>
      </w:pPr>
      <w:r>
        <w:t xml:space="preserve">Bond replacement in a Swiss strategic portfolio — evidence across interest-rate regimes (2008–2026)</w:t>
      </w:r>
    </w:p>
    <w:p>
      <w:pPr>
        <w:pStyle w:val="FirstParagraph"/>
      </w:pPr>
      <w:r>
        <w:rPr>
          <w:bCs/>
          <w:b/>
        </w:rPr>
        <w:t xml:space="preserve">HEC Lausanne · MSc Finance thesis · VZ AP5 · CHF, monthly total return, net of fees</w:t>
      </w:r>
    </w:p>
    <w:p>
      <w:pPr>
        <w:pStyle w:val="BlockText"/>
      </w:pPr>
      <w:r>
        <w:t xml:space="preserve">Empirical backbone for the thesis. All headline numbers are generated by the pipeline and</w:t>
      </w:r>
      <w:r>
        <w:t xml:space="preserve"> </w:t>
      </w:r>
      <w:r>
        <w:t xml:space="preserve">written to</w:t>
      </w:r>
      <w:r>
        <w:t xml:space="preserve"> </w:t>
      </w:r>
      <w:r>
        <w:rPr>
          <w:rStyle w:val="VerbatimChar"/>
        </w:rPr>
        <w:t xml:space="preserve">analysis/results_manifest.json</w:t>
      </w:r>
      <w:r>
        <w:t xml:space="preserve">; this report cites that single source. Method</w:t>
      </w:r>
      <w:r>
        <w:t xml:space="preserve"> </w:t>
      </w:r>
      <w:r>
        <w:t xml:space="preserve">detail:</w:t>
      </w:r>
      <w:r>
        <w:t xml:space="preserve"> </w:t>
      </w:r>
      <w:r>
        <w:rPr>
          <w:rStyle w:val="VerbatimChar"/>
        </w:rPr>
        <w:t xml:space="preserve">docs/methodology.md</w:t>
      </w:r>
      <w:r>
        <w:t xml:space="preserve">. This is the empirical report, not the full dissertation</w:t>
      </w:r>
      <w:r>
        <w:t xml:space="preserve"> </w:t>
      </w:r>
      <w:r>
        <w:t xml:space="preserve">(introduction / literature review / references are written separately by the author).</w:t>
      </w:r>
    </w:p>
    <w:p>
      <w:r>
        <w:pict>
          <v:rect style="width:0;height:1.5pt" o:hralign="center" o:hrstd="t" o:hr="t"/>
        </w:pict>
      </w:r>
    </w:p>
    <w:bookmarkStart w:id="20" w:name="X9251893c2ac26e92393c0c80c14a9e56b89e9f6"/>
    <w:p>
      <w:pPr>
        <w:pStyle w:val="Heading2"/>
      </w:pPr>
      <w:r>
        <w:t xml:space="preserve">1. Goal and research questions</w:t>
      </w:r>
    </w:p>
    <w:p>
      <w:pPr>
        <w:pStyle w:val="FirstParagraph"/>
      </w:pPr>
      <w:r>
        <w:rPr>
          <w:bCs/>
          <w:b/>
        </w:rPr>
        <w:t xml:space="preserve">Goal (one sentence).</w:t>
      </w:r>
      <w:r>
        <w:t xml:space="preserve"> </w:t>
      </w:r>
      <w:r>
        <w:t xml:space="preserve">Decide whether the</w:t>
      </w:r>
      <w:r>
        <w:t xml:space="preserve"> </w:t>
      </w:r>
      <w:r>
        <w:rPr>
          <w:bCs/>
          <w:b/>
        </w:rPr>
        <w:t xml:space="preserve">42% bond sleeve</w:t>
      </w:r>
      <w:r>
        <w:t xml:space="preserve"> </w:t>
      </w:r>
      <w:r>
        <w:t xml:space="preserve">of the Swiss VZ</w:t>
      </w:r>
      <w:r>
        <w:t xml:space="preserve"> </w:t>
      </w:r>
      <w:r>
        <w:rPr>
          <w:bCs/>
          <w:b/>
        </w:rPr>
        <w:t xml:space="preserve">AP5</w:t>
      </w:r>
      <w:r>
        <w:t xml:space="preserve"> </w:t>
      </w:r>
      <w:r>
        <w:t xml:space="preserve">mandate</w:t>
      </w:r>
      <w:r>
        <w:t xml:space="preserve"> </w:t>
      </w:r>
      <w:r>
        <w:t xml:space="preserve">can be replaced by investable alternatives, and</w:t>
      </w:r>
      <w:r>
        <w:t xml:space="preserve"> </w:t>
      </w:r>
      <w:r>
        <w:rPr>
          <w:bCs/>
          <w:b/>
        </w:rPr>
        <w:t xml:space="preserve">at what cost in risk</w:t>
      </w:r>
      <w:r>
        <w:t xml:space="preserve"> </w:t>
      </w:r>
      <w:r>
        <w:t xml:space="preserve">— measured over the full</w:t>
      </w:r>
      <w:r>
        <w:t xml:space="preserve"> </w:t>
      </w:r>
      <w:r>
        <w:rPr>
          <w:bCs/>
          <w:b/>
        </w:rPr>
        <w:t xml:space="preserve">2008–2026</w:t>
      </w:r>
      <w:r>
        <w:t xml:space="preserve"> </w:t>
      </w:r>
      <w:r>
        <w:t xml:space="preserve">sample and read across</w:t>
      </w:r>
      <w:r>
        <w:t xml:space="preserve"> </w:t>
      </w:r>
      <w:r>
        <w:rPr>
          <w:bCs/>
          <w:b/>
        </w:rPr>
        <w:t xml:space="preserve">interest-rate regimes</w:t>
      </w:r>
      <w:r>
        <w:t xml:space="preserve">.</w:t>
      </w:r>
    </w:p>
    <w:p>
      <w:pPr>
        <w:pStyle w:val="BodyText"/>
      </w:pPr>
      <w:r>
        <w:t xml:space="preserve">The study answers</w:t>
      </w:r>
      <w:r>
        <w:t xml:space="preserve"> </w:t>
      </w:r>
      <w:r>
        <w:rPr>
          <w:bCs/>
          <w:b/>
        </w:rPr>
        <w:t xml:space="preserve">three plain questions</w:t>
      </w:r>
      <w:r>
        <w:t xml:space="preserve">. Each maps to a formally tested hypothesis, so the</w:t>
      </w:r>
      <w:r>
        <w:t xml:space="preserve"> </w:t>
      </w:r>
      <w:r>
        <w:t xml:space="preserve">simple framing on the left and the statistical test on the right are the same thing: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Plain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Formally tested 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Q1 — Return.</w:t>
            </w:r>
            <w:r>
              <w:t xml:space="preserve"> </w:t>
            </w:r>
            <w:r>
              <w:t xml:space="preserve">Does replacing bonds change long-run return?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H1</w:t>
            </w:r>
            <w:r>
              <w:t xml:space="preserve">: partial replacement raises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Q2 — Risk.</w:t>
            </w:r>
            <w:r>
              <w:t xml:space="preserve"> </w:t>
            </w:r>
            <w:r>
              <w:t xml:space="preserve">Does it change the downside — deep drawdowns and tail losses?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H2a</w:t>
            </w:r>
            <w:r>
              <w:t xml:space="preserve">: full replacement deepens max drawdown ·</w:t>
            </w:r>
            <w:r>
              <w:t xml:space="preserve"> </w:t>
            </w:r>
            <w:r>
              <w:rPr>
                <w:bCs/>
                <w:b/>
              </w:rPr>
              <w:t xml:space="preserve">H2b</w:t>
            </w:r>
            <w:r>
              <w:t xml:space="preserve">: full replacement worsens tail loss (CVaR)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Q3 — Regime.</w:t>
            </w:r>
            <w:r>
              <w:t xml:space="preserve"> </w:t>
            </w:r>
            <w:r>
              <w:t xml:space="preserve">Does the answer depend on the SNB rate environment?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H3</w:t>
            </w:r>
            <w:r>
              <w:t xml:space="preserve">: the effect is regime-dependent</w:t>
            </w:r>
          </w:p>
        </w:tc>
      </w:tr>
    </w:tbl>
    <w:p>
      <w:pPr>
        <w:pStyle w:val="BodyText"/>
      </w:pPr>
      <w:r>
        <w:t xml:space="preserve">Whether</w:t>
      </w:r>
      <w:r>
        <w:t xml:space="preserve"> </w:t>
      </w:r>
      <w:r>
        <w:rPr>
          <w:bCs/>
          <w:b/>
        </w:rPr>
        <w:t xml:space="preserve">partial</w:t>
      </w:r>
      <w:r>
        <w:t xml:space="preserve"> </w:t>
      </w:r>
      <w:r>
        <w:t xml:space="preserve">replacement is preferable to</w:t>
      </w:r>
      <w:r>
        <w:t xml:space="preserve"> </w:t>
      </w:r>
      <w:r>
        <w:rPr>
          <w:bCs/>
          <w:b/>
        </w:rPr>
        <w:t xml:space="preserve">full</w:t>
      </w:r>
      <w:r>
        <w:t xml:space="preserve"> </w:t>
      </w:r>
      <w:r>
        <w:t xml:space="preserve">(previously a separate hypothesis) is</w:t>
      </w:r>
      <w:r>
        <w:t xml:space="preserve"> </w:t>
      </w:r>
      <w:r>
        <w:t xml:space="preserve">treated as a</w:t>
      </w:r>
      <w:r>
        <w:t xml:space="preserve"> </w:t>
      </w:r>
      <w:r>
        <w:rPr>
          <w:bCs/>
          <w:b/>
        </w:rPr>
        <w:t xml:space="preserve">recommendation question</w:t>
      </w:r>
      <w:r>
        <w:t xml:space="preserve">, answered in §9 — not a fourth test.</w:t>
      </w:r>
    </w:p>
    <w:p>
      <w:pPr>
        <w:pStyle w:val="BodyText"/>
      </w:pPr>
      <w:r>
        <w:rPr>
          <w:iCs/>
          <w:i/>
        </w:rPr>
        <w:t xml:space="preserve">Why bonds are hard to replace:</w:t>
      </w:r>
      <w:r>
        <w:t xml:space="preserve"> </w:t>
      </w:r>
      <w:r>
        <w:t xml:space="preserve">in AP5 they provide</w:t>
      </w:r>
      <w:r>
        <w:t xml:space="preserve"> </w:t>
      </w:r>
      <w:r>
        <w:rPr>
          <w:bCs/>
          <w:b/>
        </w:rPr>
        <w:t xml:space="preserve">return/carry, diversification, liquidity,</w:t>
      </w:r>
      <w:r>
        <w:rPr>
          <w:bCs/>
          <w:b/>
        </w:rPr>
        <w:t xml:space="preserve"> </w:t>
      </w:r>
      <w:r>
        <w:rPr>
          <w:bCs/>
          <w:b/>
        </w:rPr>
        <w:t xml:space="preserve">flight-to-quality and duration</w:t>
      </w:r>
      <w:r>
        <w:t xml:space="preserve"> </w:t>
      </w:r>
      <w:r>
        <w:t xml:space="preserve">at once — no single alternative reproduces all of these, which is</w:t>
      </w:r>
      <w:r>
        <w:t xml:space="preserve"> </w:t>
      </w:r>
      <w:r>
        <w:t xml:space="preserve">the tension the three questions probe.</w:t>
      </w:r>
    </w:p>
    <w:p>
      <w:pPr>
        <w:pStyle w:val="BodyText"/>
      </w:pPr>
      <w:r>
        <w:t xml:space="preserve">Verdicts (developed below, from the bootstrap in §6.3):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H1 — descriptive support</w:t>
      </w:r>
      <w:r>
        <w:t xml:space="preserve">: the point estimate of CAGR rises monotonically with</w:t>
      </w:r>
      <w:r>
        <w:t xml:space="preserve"> </w:t>
      </w:r>
      <w:r>
        <w:t xml:space="preserve">replacement, but the bootstrap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establish a significant positive return</w:t>
      </w:r>
      <w:r>
        <w:t xml:space="preserve"> </w:t>
      </w:r>
      <w:r>
        <w:t xml:space="preserve">difference (P(ΔCAGR&gt;0) ≈ 82–84%; the 95% CI includes zero at each level).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H2a — suggestive</w:t>
      </w:r>
      <w:r>
        <w:t xml:space="preserve">: the bootstrap consistently favours worse drawdowns (P(worse) rising to</w:t>
      </w:r>
      <w:r>
        <w:t xml:space="preserve"> </w:t>
      </w:r>
      <w:r>
        <w:t xml:space="preserve">92% at full replacement), but the 95% interval for ΔMaxDD still</w:t>
      </w:r>
      <w:r>
        <w:t xml:space="preserve"> </w:t>
      </w:r>
      <w:r>
        <w:rPr>
          <w:bCs/>
          <w:b/>
        </w:rPr>
        <w:t xml:space="preserve">includes zero</w:t>
      </w:r>
      <w:r>
        <w:t xml:space="preserve">, so it is</w:t>
      </w:r>
      <w:r>
        <w:t xml:space="preserve"> </w:t>
      </w:r>
      <w:r>
        <w:t xml:space="preserve">not conventionally significant at the 5% level.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H2b — strong evidence</w:t>
      </w:r>
      <w:r>
        <w:t xml:space="preserve">: worse</w:t>
      </w:r>
      <w:r>
        <w:t xml:space="preserve"> </w:t>
      </w:r>
      <w:r>
        <w:rPr>
          <w:bCs/>
          <w:b/>
        </w:rPr>
        <w:t xml:space="preserve">tail loss (CVaR)</w:t>
      </w:r>
      <w:r>
        <w:t xml:space="preserve"> </w:t>
      </w:r>
      <w:r>
        <w:t xml:space="preserve">is far more decisive — P(worse) reaches</w:t>
      </w:r>
      <w:r>
        <w:t xml:space="preserve"> </w:t>
      </w:r>
      <w:r>
        <w:t xml:space="preserve">≈99–100% by a 20% replacement (and holds at both the 90% and 95% CVaR thresholds, and across</w:t>
      </w:r>
      <w:r>
        <w:t xml:space="preserve"> </w:t>
      </w:r>
      <w:r>
        <w:t xml:space="preserve">bootstrap block lengths of 3/6/12 months). We call this</w:t>
      </w:r>
      <w:r>
        <w:t xml:space="preserve"> </w:t>
      </w:r>
      <w:r>
        <w:rPr>
          <w:iCs/>
          <w:i/>
        </w:rPr>
        <w:t xml:space="preserve">strong evidence</w:t>
      </w:r>
      <w:r>
        <w:t xml:space="preserve"> </w:t>
      </w:r>
      <w:r>
        <w:t xml:space="preserve">rather than</w:t>
      </w:r>
      <w:r>
        <w:t xml:space="preserve"> </w:t>
      </w:r>
      <w:r>
        <w:t xml:space="preserve">"significant" because no formal one-sided 95% decision rule is pre-registered.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H3 — descriptive support</w:t>
      </w:r>
      <w:r>
        <w:t xml:space="preserve">: the sign of the replacement effect changes across regimes and</w:t>
      </w:r>
      <w:r>
        <w:t xml:space="preserve"> </w:t>
      </w:r>
      <w:r>
        <w:t xml:space="preserve">crisis types (a descriptive, not a formally tested, interaction).</w:t>
      </w:r>
    </w:p>
    <w:p>
      <w:pPr>
        <w:pStyle w:val="FirstParagraph"/>
      </w:pPr>
      <w:r>
        <w:t xml:space="preserve">On the</w:t>
      </w:r>
      <w:r>
        <w:t xml:space="preserve"> </w:t>
      </w:r>
      <w:r>
        <w:rPr>
          <w:bCs/>
          <w:b/>
        </w:rPr>
        <w:t xml:space="preserve">recommendation question</w:t>
      </w:r>
      <w:r>
        <w:t xml:space="preserve"> </w:t>
      </w:r>
      <w:r>
        <w:t xml:space="preserve">(partial vs full, §9): under the primary category-level</w:t>
      </w:r>
      <w:r>
        <w:t xml:space="preserve"> </w:t>
      </w:r>
      <w:r>
        <w:t xml:space="preserve">specification the Sharpe is</w:t>
      </w:r>
      <w:r>
        <w:t xml:space="preserve"> </w:t>
      </w:r>
      <w:r>
        <w:rPr>
          <w:bCs/>
          <w:b/>
        </w:rPr>
        <w:t xml:space="preserve">flat-to-declining in replacement</w:t>
      </w:r>
      <w:r>
        <w:t xml:space="preserve"> </w:t>
      </w:r>
      <w:r>
        <w:t xml:space="preserve">(highest at AP5, ≈0.48 through</w:t>
      </w:r>
      <w:r>
        <w:t xml:space="preserve"> </w:t>
      </w:r>
      <w:r>
        <w:t xml:space="preserve">~50%, then falling), and every ΔSharpe is</w:t>
      </w:r>
      <w:r>
        <w:t xml:space="preserve"> </w:t>
      </w:r>
      <w:r>
        <w:rPr>
          <w:bCs/>
          <w:b/>
        </w:rPr>
        <w:t xml:space="preserve">within bootstrap noise</w:t>
      </w:r>
      <w:r>
        <w:t xml:space="preserve"> </w:t>
      </w:r>
      <w:r>
        <w:t xml:space="preserve">— so partial replacement is a</w:t>
      </w:r>
      <w:r>
        <w:t xml:space="preserve"> </w:t>
      </w:r>
      <w:r>
        <w:t xml:space="preserve">defensible return-and-risk</w:t>
      </w:r>
      <w:r>
        <w:t xml:space="preserve"> </w:t>
      </w:r>
      <w:r>
        <w:rPr>
          <w:iCs/>
          <w:i/>
        </w:rPr>
        <w:t xml:space="preserve">compromise</w:t>
      </w:r>
      <w:r>
        <w:t xml:space="preserve"> </w:t>
      </w:r>
      <w:r>
        <w:t xml:space="preserve">but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risk-adjusted improvement, and there is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unique optimal ratio. Full replacement is not supported.</w:t>
      </w:r>
    </w:p>
    <w:bookmarkEnd w:id="20"/>
    <w:bookmarkStart w:id="21" w:name="X52b966f43899713ee7a312537828cadadababcf"/>
    <w:p>
      <w:pPr>
        <w:pStyle w:val="Heading2"/>
      </w:pPr>
      <w:r>
        <w:t xml:space="preserve">2. The exact AP5 allocation (VZ Kundendoku slide 5)</w:t>
      </w:r>
    </w:p>
    <w:p>
      <w:pPr>
        <w:pStyle w:val="FirstParagraph"/>
      </w:pPr>
      <w:r>
        <w:t xml:space="preserve">Reproduced at the</w:t>
      </w:r>
      <w:r>
        <w:t xml:space="preserve"> </w:t>
      </w:r>
      <w:r>
        <w:rPr>
          <w:bCs/>
          <w:b/>
        </w:rPr>
        <w:t xml:space="preserve">index level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Indices (weight)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Swiss equity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 11% · SLI 12% · SPI Extra 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 equity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MSCI World 19% · MSCI World Small 3% · MSCI EM 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Swiss bonds 16.8%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SBI AAA-BBB 10.8% · SBI AAA-BBB 1-5 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 bonds 25.2% (CHF-hedged)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Aggregate 16.8% · Global Aggregate 1-5 8.4%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estate 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SXI Real Estate Funds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CHF policy-rate cash proxy (SNB path)</w:t>
            </w:r>
          </w:p>
        </w:tc>
      </w:tr>
    </w:tbl>
    <w:p>
      <w:pPr>
        <w:pStyle w:val="BodyText"/>
      </w:pPr>
      <w:r>
        <w:rPr>
          <w:bCs/>
          <w:b/>
        </w:rPr>
        <w:t xml:space="preserve">Equity 50% · bonds 42% · real estate 5% · cash 3%.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42% bond sleeve</w:t>
      </w:r>
      <w:r>
        <w:t xml:space="preserve"> </w:t>
      </w:r>
      <w:r>
        <w:t xml:space="preserve">keeps its</w:t>
      </w:r>
      <w:r>
        <w:t xml:space="preserve"> </w:t>
      </w:r>
      <w:r>
        <w:t xml:space="preserve">broad/short-duration split. Strategic weights are held fixed and applied back to 2008 as a</w:t>
      </w:r>
      <w:r>
        <w:t xml:space="preserve"> </w:t>
      </w:r>
      <w:r>
        <w:rPr>
          <w:bCs/>
          <w:b/>
        </w:rPr>
        <w:t xml:space="preserve">counterfactual reconstruction</w:t>
      </w:r>
      <w:r>
        <w:t xml:space="preserve"> </w:t>
      </w:r>
      <w:r>
        <w:t xml:space="preserve">(per the director), not a claim that VZ held these exact</w:t>
      </w:r>
      <w:r>
        <w:t xml:space="preserve"> </w:t>
      </w:r>
      <w:r>
        <w:t xml:space="preserve">weights historically.</w:t>
      </w:r>
    </w:p>
    <w:bookmarkEnd w:id="21"/>
    <w:bookmarkStart w:id="22" w:name="Xdb2204e63cf7ff525c1bbff78a70de31353b926"/>
    <w:p>
      <w:pPr>
        <w:pStyle w:val="Heading2"/>
      </w:pPr>
      <w:r>
        <w:t xml:space="preserve">3. Data &amp; method (full detail in</w:t>
      </w:r>
      <w:r>
        <w:t xml:space="preserve"> </w:t>
      </w:r>
      <w:r>
        <w:rPr>
          <w:rStyle w:val="VerbatimChar"/>
        </w:rPr>
        <w:t xml:space="preserve">docs/methodology.md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Sources</w:t>
      </w:r>
      <w:r>
        <w:t xml:space="preserve">: Bloomberg index levels; SNB + Fed policy rates; the real VZ AP5 NAV</w:t>
      </w:r>
      <w:r>
        <w:t xml:space="preserve"> </w:t>
      </w:r>
      <w:r>
        <w:t xml:space="preserve">(2019–2026, for validation); the VZ allocation-drift history.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Rebalancing</w:t>
      </w:r>
      <w:r>
        <w:t xml:space="preserve">: band-based monitoring. The VZ slide-5 example (50% target, 46–54% hard</w:t>
      </w:r>
      <w:r>
        <w:t xml:space="preserve"> </w:t>
      </w:r>
      <w:r>
        <w:t xml:space="preserve">bounds) implies</w:t>
      </w:r>
      <w:r>
        <w:t xml:space="preserve"> </w:t>
      </w:r>
      <w:r>
        <w:rPr>
          <w:bCs/>
          <w:b/>
        </w:rPr>
        <w:t xml:space="preserve">≈±8% relative</w:t>
      </w:r>
      <w:r>
        <w:t xml:space="preserve"> </w:t>
      </w:r>
      <w:r>
        <w:t xml:space="preserve">bands; the exact general rule is not published, so band</w:t>
      </w:r>
      <w:r>
        <w:t xml:space="preserve"> </w:t>
      </w:r>
      <w:r>
        <w:t xml:space="preserve">width is a</w:t>
      </w:r>
      <w:r>
        <w:t xml:space="preserve"> </w:t>
      </w:r>
      <w:r>
        <w:rPr>
          <w:bCs/>
          <w:b/>
        </w:rPr>
        <w:t xml:space="preserve">reconstruction assumption</w:t>
      </w:r>
      <w:r>
        <w:t xml:space="preserve">. We take the</w:t>
      </w:r>
      <w:r>
        <w:t xml:space="preserve"> </w:t>
      </w:r>
      <w:r>
        <w:rPr>
          <w:bCs/>
          <w:b/>
        </w:rPr>
        <w:t xml:space="preserve">VZ-consistent ±8% as the base case</w:t>
      </w:r>
      <w:r>
        <w:t xml:space="preserve"> </w:t>
      </w:r>
      <w:r>
        <w:t xml:space="preserve">and show the conclusion is insensitive to ±5/10/15/20% (§7). Sharpe/Sortino are computed as</w:t>
      </w:r>
      <w:r>
        <w:t xml:space="preserve"> </w:t>
      </w:r>
      <w:r>
        <w:rPr>
          <w:bCs/>
          <w:b/>
        </w:rPr>
        <w:t xml:space="preserve">excess over the CHF cash proxy</w:t>
      </w:r>
      <w:r>
        <w:t xml:space="preserve"> </w:t>
      </w:r>
      <w:r>
        <w:t xml:space="preserve">(a zero-risk-free variant differs by ~0.01).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Currency</w:t>
      </w:r>
      <w:r>
        <w:t xml:space="preserve">: VZ hedges</w:t>
      </w:r>
      <w:r>
        <w:t xml:space="preserve"> </w:t>
      </w:r>
      <w:r>
        <w:rPr>
          <w:iCs/>
          <w:i/>
        </w:rPr>
        <w:t xml:space="preserve">only its global bond sleeve</w:t>
      </w:r>
      <w:r>
        <w:t xml:space="preserve"> </w:t>
      </w:r>
      <w:r>
        <w:t xml:space="preserve">to CHF. Equities/real assets are</w:t>
      </w:r>
      <w:r>
        <w:t xml:space="preserve"> </w:t>
      </w:r>
      <w:r>
        <w:t xml:space="preserve">unhedged. Hedging the credit-like replacements (HY, EM debt) is</w:t>
      </w:r>
      <w:r>
        <w:t xml:space="preserve"> </w:t>
      </w:r>
      <w:r>
        <w:rPr>
          <w:bCs/>
          <w:b/>
        </w:rPr>
        <w:t xml:space="preserve">our assumption</w:t>
      </w:r>
      <w:r>
        <w:t xml:space="preserve">, modelled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policy-rate-implied approximation</w:t>
      </w:r>
      <w:r>
        <w:t xml:space="preserve"> </w:t>
      </w:r>
      <w:r>
        <w:t xml:space="preserve">(ignores forward points/basis); §7 tests unhedged.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Cash</w:t>
      </w:r>
      <w:r>
        <w:t xml:space="preserve">: a</w:t>
      </w:r>
      <w:r>
        <w:t xml:space="preserve"> </w:t>
      </w:r>
      <w:r>
        <w:rPr>
          <w:bCs/>
          <w:b/>
        </w:rPr>
        <w:t xml:space="preserve">policy-rate cash proxy</w:t>
      </w:r>
      <w:r>
        <w:t xml:space="preserve"> </w:t>
      </w:r>
      <w:r>
        <w:t xml:space="preserve">(SNB path, full immediate pass-through assumed); it</w:t>
      </w:r>
      <w:r>
        <w:t xml:space="preserve"> </w:t>
      </w:r>
      <w:r>
        <w:t xml:space="preserve">earns a negative rate over 2015–2022.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Fees</w:t>
      </w:r>
      <w:r>
        <w:t xml:space="preserve">: a</w:t>
      </w:r>
      <w:r>
        <w:t xml:space="preserve"> </w:t>
      </w:r>
      <w:r>
        <w:rPr>
          <w:bCs/>
          <w:b/>
        </w:rPr>
        <w:t xml:space="preserve">1.37%/yr</w:t>
      </w:r>
      <w:r>
        <w:t xml:space="preserve"> </w:t>
      </w:r>
      <w:r>
        <w:t xml:space="preserve">VZ wrapper load (0.12% product + 1.25% management) applied to every</w:t>
      </w:r>
      <w:r>
        <w:t xml:space="preserve"> </w:t>
      </w:r>
      <w:r>
        <w:t xml:space="preserve">book, on top of the instruments' own fund-level expenses (already in their returns), as an</w:t>
      </w:r>
      <w:r>
        <w:t xml:space="preserve"> </w:t>
      </w:r>
      <w:r>
        <w:t xml:space="preserve">exact multiplicative monthly drag.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Transaction cost</w:t>
      </w:r>
      <w:r>
        <w:t xml:space="preserve">: 10 bps one-way base; §7 tests 0–50 bps.</w:t>
      </w:r>
    </w:p>
    <w:bookmarkEnd w:id="22"/>
    <w:bookmarkStart w:id="23" w:name="X7405c8b4386788b55b83953f3a6d395c968921a"/>
    <w:p>
      <w:pPr>
        <w:pStyle w:val="Heading2"/>
      </w:pPr>
      <w:r>
        <w:t xml:space="preserve">4. Validation — a stylised benchmark, not an exact replica</w:t>
      </w:r>
    </w:p>
    <w:p>
      <w:pPr>
        <w:pStyle w:val="FirstParagraph"/>
      </w:pPr>
      <w:r>
        <w:t xml:space="preserve">Reconstructed AP5 vs the</w:t>
      </w:r>
      <w:r>
        <w:t xml:space="preserve"> </w:t>
      </w:r>
      <w:r>
        <w:rPr>
          <w:bCs/>
          <w:b/>
        </w:rPr>
        <w:t xml:space="preserve">actual VZ VVIA NAV</w:t>
      </w:r>
      <w:r>
        <w:t xml:space="preserve">, 2019–2026 (85 months, fig. 02):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Monthly-return correlation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Regression VZ = α + β·recon: β / α (ann.) / R²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 / −0.35% / 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Annualised tracking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Cumulative: reconstruction vs VZ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+25.1% vs +21.1%</w:t>
            </w:r>
          </w:p>
        </w:tc>
      </w:tr>
    </w:tbl>
    <w:p>
      <w:pPr>
        <w:pStyle w:val="BodyText"/>
      </w:pPr>
      <w:r>
        <w:t xml:space="preserve">The validation is</w:t>
      </w:r>
      <w:r>
        <w:t xml:space="preserve"> </w:t>
      </w:r>
      <w:r>
        <w:rPr>
          <w:bCs/>
          <w:b/>
        </w:rPr>
        <w:t xml:space="preserve">almost independent of the monitoring band</w:t>
      </w:r>
      <w:r>
        <w:t xml:space="preserve">, because VZ's recorded target</w:t>
      </w:r>
      <w:r>
        <w:t xml:space="preserve"> </w:t>
      </w:r>
      <w:r>
        <w:t xml:space="preserve">drift drives most rebalances and the band only triggers between recorded changes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analysis/ap5_validation_band_sensitivity.csv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Validation 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(ann.)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±5% (base)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±8% (main-model band)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±10%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±20%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0.907</w:t>
            </w:r>
          </w:p>
        </w:tc>
      </w:tr>
    </w:tbl>
    <w:p>
      <w:pPr>
        <w:pStyle w:val="BodyText"/>
      </w:pPr>
      <w:r>
        <w:t xml:space="preserve">So the excellent validation is</w:t>
      </w:r>
      <w:r>
        <w:t xml:space="preserve"> </w:t>
      </w:r>
      <w:r>
        <w:rPr>
          <w:bCs/>
          <w:b/>
        </w:rPr>
        <w:t xml:space="preserve">not an artefact of the tight 5% band</w:t>
      </w:r>
      <w:r>
        <w:t xml:space="preserve"> </w:t>
      </w:r>
      <w:r>
        <w:t xml:space="preserve">— it holds equally at the</w:t>
      </w:r>
      <w:r>
        <w:t xml:space="preserve"> </w:t>
      </w:r>
      <w:r>
        <w:t xml:space="preserve">±8% base band used by the main model.</w:t>
      </w:r>
    </w:p>
    <w:p>
      <w:pPr>
        <w:pStyle w:val="BodyText"/>
      </w:pPr>
      <w:r>
        <w:t xml:space="preserve">The reconstruction tracks the real product closely (β≈1, R²≈0.91) but carries a ~2.4%/yr</w:t>
      </w:r>
      <w:r>
        <w:t xml:space="preserve"> </w:t>
      </w:r>
      <w:r>
        <w:t xml:space="preserve">tracking error and a ~4pp cumulative gap. The foreign-equity proxy (a USD price index + FX</w:t>
      </w:r>
      <w:r>
        <w:t xml:space="preserve"> </w:t>
      </w:r>
      <w:r>
        <w:t xml:space="preserve">standing in for 50% of the book) is a</w:t>
      </w:r>
      <w:r>
        <w:t xml:space="preserve"> </w:t>
      </w:r>
      <w:r>
        <w:rPr>
          <w:bCs/>
          <w:b/>
        </w:rPr>
        <w:t xml:space="preserve">plausible important contributor</w:t>
      </w:r>
      <w:r>
        <w:t xml:space="preserve"> </w:t>
      </w:r>
      <w:r>
        <w:t xml:space="preserve">to the residual — we</w:t>
      </w:r>
      <w:r>
        <w:t xml:space="preserve"> </w:t>
      </w:r>
      <w:r>
        <w:t xml:space="preserve">do not decompose it formally, so we do not claim it is</w:t>
      </w:r>
      <w:r>
        <w:t xml:space="preserve"> </w:t>
      </w:r>
      <w:r>
        <w:rPr>
          <w:iCs/>
          <w:i/>
        </w:rPr>
        <w:t xml:space="preserve">the</w:t>
      </w:r>
      <w:r>
        <w:t xml:space="preserve"> </w:t>
      </w:r>
      <w:r>
        <w:t xml:space="preserve">dominant cause. Two caveats:</w:t>
      </w:r>
      <w:r>
        <w:t xml:space="preserve"> </w:t>
      </w:r>
      <w:r>
        <w:t xml:space="preserve">(i) the VZ allocation history is only available at</w:t>
      </w:r>
      <w:r>
        <w:t xml:space="preserve"> </w:t>
      </w:r>
      <w:r>
        <w:rPr>
          <w:bCs/>
          <w:b/>
        </w:rPr>
        <w:t xml:space="preserve">category</w:t>
      </w:r>
      <w:r>
        <w:t xml:space="preserve"> </w:t>
      </w:r>
      <w:r>
        <w:t xml:space="preserve">level, so the validation maps</w:t>
      </w:r>
      <w:r>
        <w:t xml:space="preserve"> </w:t>
      </w:r>
      <w:r>
        <w:t xml:space="preserve">category weights onto the strategic index split from the Kundendoku — it</w:t>
      </w:r>
      <w:r>
        <w:t xml:space="preserve"> </w:t>
      </w:r>
      <w:r>
        <w:rPr>
          <w:bCs/>
          <w:b/>
        </w:rPr>
        <w:t xml:space="preserve">assumes the</w:t>
      </w:r>
      <w:r>
        <w:rPr>
          <w:bCs/>
          <w:b/>
        </w:rPr>
        <w:t xml:space="preserve"> </w:t>
      </w:r>
      <w:r>
        <w:rPr>
          <w:bCs/>
          <w:b/>
        </w:rPr>
        <w:t xml:space="preserve">within-category index proportions were constant</w:t>
      </w:r>
      <w:r>
        <w:t xml:space="preserve"> </w:t>
      </w:r>
      <w:r>
        <w:t xml:space="preserve">over the validation window, so the 0.955 is</w:t>
      </w:r>
      <w:r>
        <w:t xml:space="preserve"> </w:t>
      </w:r>
      <w:r>
        <w:t xml:space="preserve">partly a validation of that mapping; (ii) the reconstruction is used</w:t>
      </w:r>
      <w:r>
        <w:t xml:space="preserve"> </w:t>
      </w:r>
      <w:r>
        <w:rPr>
          <w:iCs/>
          <w:i/>
        </w:rPr>
        <w:t xml:space="preserve">identically</w:t>
      </w:r>
      <w:r>
        <w:t xml:space="preserve"> </w:t>
      </w:r>
      <w:r>
        <w:t xml:space="preserve">across AP5</w:t>
      </w:r>
      <w:r>
        <w:t xml:space="preserve"> </w:t>
      </w:r>
      <w:r>
        <w:t xml:space="preserve">and every replacement book, so its bias is common to all — though under band rebalancing it</w:t>
      </w:r>
      <w:r>
        <w:t xml:space="preserve"> </w:t>
      </w:r>
      <w:r>
        <w:t xml:space="preserve">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cancel perfectly (it affects breach timing/turnover/cost, a second-order effect).</w:t>
      </w:r>
      <w:r>
        <w:t xml:space="preserve"> </w:t>
      </w:r>
      <w:r>
        <w:t xml:space="preserve">We therefore treat it as a</w:t>
      </w:r>
      <w:r>
        <w:t xml:space="preserve"> </w:t>
      </w:r>
      <w:r>
        <w:rPr>
          <w:bCs/>
          <w:b/>
        </w:rPr>
        <w:t xml:space="preserve">stylised benchmark</w:t>
      </w:r>
      <w:r>
        <w:t xml:space="preserve">, not an exact replica.</w:t>
      </w:r>
    </w:p>
    <w:bookmarkEnd w:id="23"/>
    <w:bookmarkStart w:id="24" w:name="X3941da548fc56a116826b73b8a96529ccadd833"/>
    <w:p>
      <w:pPr>
        <w:pStyle w:val="Heading2"/>
      </w:pPr>
      <w:r>
        <w:t xml:space="preserve">5. The replacement candidates — included, and excluded with reasons</w:t>
      </w:r>
    </w:p>
    <w:p>
      <w:pPr>
        <w:pStyle w:val="FirstParagraph"/>
      </w:pPr>
      <w:r>
        <w:t xml:space="preserve">We define an</w:t>
      </w:r>
      <w:r>
        <w:t xml:space="preserve"> </w:t>
      </w:r>
      <w:r>
        <w:rPr>
          <w:bCs/>
          <w:b/>
        </w:rPr>
        <w:t xml:space="preserve">investable proxy</w:t>
      </w:r>
      <w:r>
        <w:t xml:space="preserve"> </w:t>
      </w:r>
      <w:r>
        <w:t xml:space="preserve">as a publicly traded market instrument with an observable</w:t>
      </w:r>
      <w:r>
        <w:t xml:space="preserve"> </w:t>
      </w:r>
      <w:r>
        <w:t xml:space="preserve">total-return history; this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imply universal availability to a Swiss retail investor</w:t>
      </w:r>
      <w:r>
        <w:t xml:space="preserve"> </w:t>
      </w:r>
      <w:r>
        <w:t xml:space="preserve">(US ETFs such as HYG/EMB require authorisation to be offered to non-qualified Swiss investors).</w:t>
      </w:r>
      <w:r>
        <w:t xml:space="preserve"> </w:t>
      </w:r>
      <w:r>
        <w:t xml:space="preserve">For EM debt a CHF-hedged UCITS vehicle is directly available (e.g. iShares J.P. Morgan $ EM Bond</w:t>
      </w:r>
      <w:r>
        <w:t xml:space="preserve"> </w:t>
      </w:r>
      <w:r>
        <w:t xml:space="preserve">CHF-Hedged UCITS ETF,</w:t>
      </w:r>
      <w:r>
        <w:t xml:space="preserve"> </w:t>
      </w:r>
      <w:r>
        <w:rPr>
          <w:iCs/>
          <w:i/>
        </w:rPr>
        <w:t xml:space="preserve">EMBC</w:t>
      </w:r>
      <w:r>
        <w:t xml:space="preserve">); for US high yield the CHF-hedged UCITS listing is less</w:t>
      </w:r>
      <w:r>
        <w:t xml:space="preserve"> </w:t>
      </w:r>
      <w:r>
        <w:t xml:space="preserve">standardised, so Swiss implementation of the HY leg requires an appropriate local/UCITS vehicle</w:t>
      </w:r>
      <w:r>
        <w:t xml:space="preserve"> </w:t>
      </w:r>
      <w:r>
        <w:t xml:space="preserve">(e.g. a CHF-hedged global-HY UCITS) rather than a like-for-like HYG hedge share.</w:t>
      </w:r>
      <w:r>
        <w:t xml:space="preserve"> </w:t>
      </w:r>
      <w:r>
        <w:t xml:space="preserve">"Market-investable" ≠ "Swiss-retail accessible" —</w:t>
      </w:r>
      <w:r>
        <w:t xml:space="preserve"> </w:t>
      </w:r>
      <w:r>
        <w:t xml:space="preserve">the thesis measures the former; a Swiss investor would implement via the appropriate local</w:t>
      </w:r>
      <w:r>
        <w:t xml:space="preserve"> </w:t>
      </w:r>
      <w:r>
        <w:t xml:space="preserve">vehicle. Included candidates, classified by</w:t>
      </w:r>
      <w:r>
        <w:t xml:space="preserve"> </w:t>
      </w:r>
      <w:r>
        <w:rPr>
          <w:iCs/>
          <w:i/>
        </w:rPr>
        <w:t xml:space="preserve">which function of bonds</w:t>
      </w:r>
      <w:r>
        <w:t xml:space="preserve"> </w:t>
      </w:r>
      <w:r>
        <w:t xml:space="preserve">they proxy:</w:t>
      </w:r>
    </w:p>
    <w:p>
      <w:pPr>
        <w:pStyle w:val="BodyText"/>
      </w:pPr>
      <w:r>
        <w:t xml:space="preserve">Sharpe below is</w:t>
      </w:r>
      <w:r>
        <w:t xml:space="preserve"> </w:t>
      </w:r>
      <w:r>
        <w:rPr>
          <w:bCs/>
          <w:b/>
        </w:rPr>
        <w:t xml:space="preserve">excess over the CHF cash proxy</w:t>
      </w:r>
      <w:r>
        <w:t xml:space="preserve"> </w:t>
      </w:r>
      <w:r>
        <w:t xml:space="preserve">(same basis as the portfolio tables):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Instrument (US proxy)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proxied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Swiss-retail accessible?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Sharpe (vs cash)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yield (HYG, hedged)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income/carry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CHF-hedged global-HY UCITS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debt (EMB, hedged)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income/carry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CHF-hedged UCITS (EMBC)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 (GLD)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crisis diversifier / store of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Swiss gold ETF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Managed futures (RYMFX)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crisis diversifier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/ qualified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Commodities (DBC)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inflation hedge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UCITS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(IGF)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income / inflation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UCITS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Convertibles (CWB, 2009)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(equity-linked)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 UCITS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−24%</w:t>
            </w:r>
          </w:p>
        </w:tc>
      </w:tr>
    </w:tbl>
    <w:p>
      <w:pPr>
        <w:pStyle w:val="BodyText"/>
      </w:pPr>
      <w:r>
        <w:t xml:space="preserve">Crucially,</w:t>
      </w:r>
      <w:r>
        <w:t xml:space="preserve"> </w:t>
      </w:r>
      <w:r>
        <w:rPr>
          <w:bCs/>
          <w:b/>
        </w:rPr>
        <w:t xml:space="preserve">none is a duration substitute</w:t>
      </w:r>
      <w:r>
        <w:t xml:space="preserve"> </w:t>
      </w:r>
      <w:r>
        <w:t xml:space="preserve">— the bond function hardest to replace. So the</w:t>
      </w:r>
      <w:r>
        <w:t xml:space="preserve"> </w:t>
      </w:r>
      <w:r>
        <w:t xml:space="preserve">basket is a</w:t>
      </w:r>
      <w:r>
        <w:t xml:space="preserve"> </w:t>
      </w:r>
      <w:r>
        <w:rPr>
          <w:iCs/>
          <w:i/>
        </w:rPr>
        <w:t xml:space="preserve">bond-sleeve</w:t>
      </w:r>
      <w:r>
        <w:t xml:space="preserve"> </w:t>
      </w:r>
      <w:r>
        <w:t xml:space="preserve">replacement (replacing what the sleeve mostly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— carry,</w:t>
      </w:r>
      <w:r>
        <w:t xml:space="preserve"> </w:t>
      </w:r>
      <w:r>
        <w:t xml:space="preserve">diversification, some inflation and crisis hedging),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bond</w:t>
      </w:r>
      <w:r>
        <w:t xml:space="preserve"> </w:t>
      </w:r>
      <w:r>
        <w:rPr>
          <w:iCs/>
          <w:i/>
        </w:rPr>
        <w:t xml:space="preserve">substitute</w:t>
      </w:r>
      <w:r>
        <w:t xml:space="preserve"> </w:t>
      </w:r>
      <w:r>
        <w:t xml:space="preserve">that</w:t>
      </w:r>
      <w:r>
        <w:t xml:space="preserve"> </w:t>
      </w:r>
      <w:r>
        <w:t xml:space="preserve">reproduces duration and flight-to-quality.</w:t>
      </w:r>
      <w:r>
        <w:t xml:space="preserve"> </w:t>
      </w:r>
      <w:r>
        <w:rPr>
          <w:bCs/>
          <w:b/>
        </w:rPr>
        <w:t xml:space="preserve">Inclusion rule (ex ante):</w:t>
      </w:r>
      <w:r>
        <w:t xml:space="preserve"> </w:t>
      </w:r>
      <w:r>
        <w:t xml:space="preserve">liquid + market-</w:t>
      </w:r>
      <w:r>
        <w:t xml:space="preserve"> </w:t>
      </w:r>
      <w:r>
        <w:t xml:space="preserve">investable + mark-to-market + sufficient history.</w:t>
      </w:r>
      <w:r>
        <w:t xml:space="preserve"> </w:t>
      </w:r>
      <w:r>
        <w:rPr>
          <w:bCs/>
          <w:b/>
        </w:rPr>
        <w:t xml:space="preserve">Primary basket</w:t>
      </w:r>
      <w:r>
        <w:t xml:space="preserve"> </w:t>
      </w:r>
      <w:r>
        <w:t xml:space="preserve">= equal weight of the six</w:t>
      </w:r>
      <w:r>
        <w:t xml:space="preserve"> </w:t>
      </w:r>
      <w:r>
        <w:t xml:space="preserve">with histories beginning in 2008 that satisfy this rule (EM debt begins 2008-02, which fixes the</w:t>
      </w:r>
      <w:r>
        <w:t xml:space="preserve"> </w:t>
      </w:r>
      <w:r>
        <w:t xml:space="preserve">common sample window for every book at 2008-02 – 2026-06); convertibles are a candidate class</w:t>
      </w:r>
      <w:r>
        <w:t xml:space="preserve"> </w:t>
      </w:r>
      <w:r>
        <w:t xml:space="preserve">analysed separately (no consistent pre-2009 history).</w:t>
      </w:r>
    </w:p>
    <w:p>
      <w:pPr>
        <w:pStyle w:val="BodyText"/>
      </w:pPr>
      <w:r>
        <w:rPr>
          <w:bCs/>
          <w:b/>
        </w:rPr>
        <w:t xml:space="preserve">Excluded, with reasons</w:t>
      </w:r>
      <w:r>
        <w:t xml:space="preserve"> </w:t>
      </w:r>
      <w:r>
        <w:t xml:space="preserve">(all fail the</w:t>
      </w:r>
      <w:r>
        <w:t xml:space="preserve"> </w:t>
      </w:r>
      <w:r>
        <w:rPr>
          <w:iCs/>
          <w:i/>
        </w:rPr>
        <w:t xml:space="preserve">investable / liquid / net-of-fee</w:t>
      </w:r>
      <w:r>
        <w:t xml:space="preserve"> </w:t>
      </w:r>
      <w:r>
        <w:t xml:space="preserve">bar):</w:t>
      </w:r>
      <w:r>
        <w:t xml:space="preserve"> </w:t>
      </w:r>
      <w:r>
        <w:rPr>
          <w:bCs/>
          <w:b/>
        </w:rPr>
        <w:t xml:space="preserve">ILS/cat</w:t>
      </w:r>
      <w:r>
        <w:rPr>
          <w:bCs/>
          <w:b/>
        </w:rPr>
        <w:t xml:space="preserve"> </w:t>
      </w:r>
      <w:r>
        <w:rPr>
          <w:bCs/>
          <w:b/>
        </w:rPr>
        <w:t xml:space="preserve">bonds</w:t>
      </w:r>
      <w:r>
        <w:t xml:space="preserve"> </w:t>
      </w:r>
      <w:r>
        <w:t xml:space="preserve">(no clean public total-return history; semi-liquid);</w:t>
      </w:r>
      <w:r>
        <w:t xml:space="preserve"> </w:t>
      </w:r>
      <w:r>
        <w:rPr>
          <w:bCs/>
          <w:b/>
        </w:rPr>
        <w:t xml:space="preserve">private equity/credit</w:t>
      </w:r>
      <w:r>
        <w:t xml:space="preserve"> </w:t>
      </w:r>
      <w:r>
        <w:t xml:space="preserve">(unlisted, appraisal-smoothed NAV, lock-ups);</w:t>
      </w:r>
      <w:r>
        <w:t xml:space="preserve"> </w:t>
      </w:r>
      <w:r>
        <w:rPr>
          <w:bCs/>
          <w:b/>
        </w:rPr>
        <w:t xml:space="preserve">Swiss mortgage funds</w:t>
      </w:r>
      <w:r>
        <w:t xml:space="preserve"> </w:t>
      </w:r>
      <w:r>
        <w:t xml:space="preserve">(institutional</w:t>
      </w:r>
      <w:r>
        <w:t xml:space="preserve"> </w:t>
      </w:r>
      <w:r>
        <w:t xml:space="preserve">Anlagestiftungen, appraisal NAV, no public series found — a natural CHF addition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VZ</w:t>
      </w:r>
      <w:r>
        <w:t xml:space="preserve"> </w:t>
      </w:r>
      <w:r>
        <w:t xml:space="preserve">supplies an institutional NAV).</w:t>
      </w:r>
    </w:p>
    <w:bookmarkEnd w:id="24"/>
    <w:bookmarkStart w:id="29" w:name="Xb84024f831f54dd6cf41fa7512b2dfdd301b0cb"/>
    <w:p>
      <w:pPr>
        <w:pStyle w:val="Heading2"/>
      </w:pPr>
      <w:r>
        <w:t xml:space="preserve">6. Results</w:t>
      </w:r>
    </w:p>
    <w:bookmarkStart w:id="25" w:name="X9fc69f3e05fa2ec5f03a2b9c8a7b9772b451416"/>
    <w:p>
      <w:pPr>
        <w:pStyle w:val="Heading3"/>
      </w:pPr>
      <w:r>
        <w:t xml:space="preserve">6.1 The core problem — bonds by regime (fig. 05)</w:t>
      </w:r>
    </w:p>
    <w:p>
      <w:pPr>
        <w:pStyle w:val="FirstParagraph"/>
      </w:pPr>
      <w:r>
        <w:t xml:space="preserve">Annualised return of each bond tranche per SNB regime: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SNB regime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Swiss broad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Swiss 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broad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2008–14 low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2015–22 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 2022–24 hikes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 2024–26 easing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+0.5%</w:t>
            </w:r>
          </w:p>
        </w:tc>
      </w:tr>
    </w:tbl>
    <w:p>
      <w:pPr>
        <w:pStyle w:val="BlockText"/>
      </w:pPr>
      <w:r>
        <w:rPr>
          <w:bCs/>
          <w:b/>
        </w:rPr>
        <w:t xml:space="preserve">Global-rate context (secondary).</w:t>
      </w:r>
      <w:r>
        <w:t xml:space="preserve"> </w:t>
      </w:r>
      <w:r>
        <w:t xml:space="preserve">The four regimes are classified on the</w:t>
      </w:r>
      <w:r>
        <w:t xml:space="preserve"> </w:t>
      </w:r>
      <w:r>
        <w:rPr>
          <w:bCs/>
          <w:b/>
        </w:rPr>
        <w:t xml:space="preserve">SNB policy path</w:t>
      </w:r>
      <w:r>
        <w:t xml:space="preserve"> </w:t>
      </w:r>
      <w:r>
        <w:t xml:space="preserve">— the correct primary lens for a CHF-based Swiss investor with a Swiss local-bond allocation and</w:t>
      </w:r>
      <w:r>
        <w:t xml:space="preserve"> </w:t>
      </w:r>
      <w:r>
        <w:t xml:space="preserve">a CHF cash benchmark. Because the World-Bond sleeve is 25.2% of AP5 and internationally exposed,</w:t>
      </w:r>
      <w:r>
        <w:t xml:space="preserve"> </w:t>
      </w:r>
      <w:r>
        <w:t xml:space="preserve">we report the</w:t>
      </w:r>
      <w:r>
        <w:t xml:space="preserve"> </w:t>
      </w:r>
      <w:r>
        <w:rPr>
          <w:bCs/>
          <w:b/>
        </w:rPr>
        <w:t xml:space="preserve">Fed policy rate</w:t>
      </w:r>
      <w:r>
        <w:t xml:space="preserve"> </w:t>
      </w:r>
      <w:r>
        <w:t xml:space="preserve">at each regime's boundaries as secondary context (not a</w:t>
      </w:r>
      <w:r>
        <w:t xml:space="preserve"> </w:t>
      </w:r>
      <w:r>
        <w:t xml:space="preserve">reclassification): R1 SNB +2.75%→−0.25% / Fed 3.00%→0.12%; R2 SNB −0.75% flat / Fed 0.12%→0.88%;</w:t>
      </w:r>
      <w:r>
        <w:t xml:space="preserve"> </w:t>
      </w:r>
      <w:r>
        <w:t xml:space="preserve">R3 SNB −0.25%→+1.75% / Fed 1.62%→5.38%; R4 SNB +1.50%→0.00% / Fed 5.38%→3.62%. SNB and Fed cycles</w:t>
      </w:r>
      <w:r>
        <w:t xml:space="preserve"> </w:t>
      </w:r>
      <w:r>
        <w:t xml:space="preserve">broadly co-move but with different timing and amplitude — which is precisely why the world-bond</w:t>
      </w:r>
      <w:r>
        <w:t xml:space="preserve"> </w:t>
      </w:r>
      <w:r>
        <w:t xml:space="preserve">tranche (Global Aggregate) behaves differently from the Swiss tranche within the same SNB regime.</w:t>
      </w:r>
    </w:p>
    <w:p>
      <w:pPr>
        <w:pStyle w:val="FirstParagraph"/>
      </w:pPr>
      <w:r>
        <w:t xml:space="preserve">Bond performance was</w:t>
      </w:r>
      <w:r>
        <w:t xml:space="preserve"> </w:t>
      </w:r>
      <w:r>
        <w:rPr>
          <w:bCs/>
          <w:b/>
        </w:rPr>
        <w:t xml:space="preserve">strongest in the low-positive-rate regime (R1) and weakest in the</w:t>
      </w:r>
      <w:r>
        <w:rPr>
          <w:bCs/>
          <w:b/>
        </w:rPr>
        <w:t xml:space="preserve"> </w:t>
      </w:r>
      <w:r>
        <w:rPr>
          <w:bCs/>
          <w:b/>
        </w:rPr>
        <w:t xml:space="preserve">negative-rate (R2) and tightening (R3) regimes</w:t>
      </w:r>
      <w:r>
        <w:t xml:space="preserve">. In the 2022–24 tightening the</w:t>
      </w:r>
      <w:r>
        <w:t xml:space="preserve"> </w:t>
      </w:r>
      <w:r>
        <w:rPr>
          <w:bCs/>
          <w:b/>
        </w:rPr>
        <w:t xml:space="preserve">broad global</w:t>
      </w:r>
      <w:r>
        <w:rPr>
          <w:bCs/>
          <w:b/>
        </w:rPr>
        <w:t xml:space="preserve"> </w:t>
      </w:r>
      <w:r>
        <w:rPr>
          <w:bCs/>
          <w:b/>
        </w:rPr>
        <w:t xml:space="preserve">bond tranche was hit hardest (−2.9%/yr) while Swiss bonds stayed positive (+1.6%/yr)</w:t>
      </w:r>
      <w:r>
        <w:t xml:space="preserve">, and within</w:t>
      </w:r>
      <w:r>
        <w:t xml:space="preserve"> </w:t>
      </w:r>
      <w:r>
        <w:t xml:space="preserve">the global tranche the short-duration series lost far less than the broad one (−1.2% vs −2.9%) —</w:t>
      </w:r>
      <w:r>
        <w:t xml:space="preserve"> </w:t>
      </w:r>
      <w:r>
        <w:t xml:space="preserve">a pattern</w:t>
      </w:r>
      <w:r>
        <w:t xml:space="preserve"> </w:t>
      </w:r>
      <w:r>
        <w:rPr>
          <w:bCs/>
          <w:b/>
        </w:rPr>
        <w:t xml:space="preserve">consistent with duration exposure being an important transmission channel</w:t>
      </w:r>
      <w:r>
        <w:t xml:space="preserve"> </w:t>
      </w:r>
      <w:r>
        <w:t xml:space="preserve">(a formal rate-beta decomposition is left as an extension). Swiss and world bonds are</w:t>
      </w:r>
      <w:r>
        <w:t xml:space="preserve"> </w:t>
      </w:r>
      <w:r>
        <w:rPr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redundant</w:t>
      </w:r>
      <w:r>
        <w:t xml:space="preserve">, but the case rests on more than correlation: full-sample correlation 0.79</w:t>
      </w:r>
      <w:r>
        <w:t xml:space="preserve"> </w:t>
      </w:r>
      <w:r>
        <w:t xml:space="preserve">(R² ≈ 0.62, so ~38% of Swiss-bond variance is idiosyncratic; OLS beta 0.81),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cumulative regime returns diverge sharply (R3: +2.9% vs −2.0%) despite a high</w:t>
      </w:r>
      <w:r>
        <w:t xml:space="preserve"> </w:t>
      </w:r>
      <w:r>
        <w:rPr>
          <w:iCs/>
          <w:i/>
        </w:rPr>
        <w:t xml:space="preserve">monthly</w:t>
      </w:r>
      <w:r>
        <w:t xml:space="preserve"> </w:t>
      </w:r>
      <w:r>
        <w:t xml:space="preserve">co-movement (R3 correlation 0.83) — i.e. they carry distinct duration/rate exposures even when</w:t>
      </w:r>
      <w:r>
        <w:t xml:space="preserve"> </w:t>
      </w:r>
      <w:r>
        <w:t xml:space="preserve">they move together month to month. The sleeve keeps both.</w:t>
      </w:r>
    </w:p>
    <w:bookmarkEnd w:id="25"/>
    <w:bookmarkStart w:id="26" w:name="Xaf639e5d7097087a0d6e44743757c38b3833f02"/>
    <w:p>
      <w:pPr>
        <w:pStyle w:val="Heading3"/>
      </w:pPr>
      <w:r>
        <w:t xml:space="preserve">6.2 The trade-off curve — the primary result (fig. 01, 04)</w:t>
      </w:r>
    </w:p>
    <w:p>
      <w:pPr>
        <w:pStyle w:val="FirstParagraph"/>
      </w:pPr>
      <w:r>
        <w:t xml:space="preserve">Full period, net of fees (0–100% of the sleeve replaced by the primary basket). Sharpe is the</w:t>
      </w:r>
      <w:r>
        <w:t xml:space="preserve"> </w:t>
      </w:r>
      <w:r>
        <w:rPr>
          <w:bCs/>
          <w:b/>
        </w:rPr>
        <w:t xml:space="preserve">excess return over the CHF cash proxy</w:t>
      </w:r>
      <w:r>
        <w:t xml:space="preserve">; a zero-risk-free Sharpe is ~0.01 higher throughout</w:t>
      </w:r>
      <w:r>
        <w:t xml:space="preserve"> </w:t>
      </w:r>
      <w:r>
        <w:t xml:space="preserve">(so the risk-free choice does not affect any conclusion):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Sharpe (vs cash)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CVaR₉₅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AP5 (0%)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−28.0%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−7.1%</w:t>
            </w:r>
          </w:p>
        </w:tc>
      </w:tr>
    </w:tbl>
    <w:p>
      <w:pPr>
        <w:pStyle w:val="BodyText"/>
      </w:pPr>
      <w:r>
        <w:rPr>
          <w:bCs/>
          <w:b/>
        </w:rPr>
        <w:t xml:space="preserve">More replacement → higher return, higher volatility, deeper drawdown and tail loss, with Sharpe</w:t>
      </w:r>
      <w:r>
        <w:rPr>
          <w:bCs/>
          <w:b/>
        </w:rPr>
        <w:t xml:space="preserve"> </w:t>
      </w:r>
      <w:r>
        <w:rPr>
          <w:bCs/>
          <w:b/>
        </w:rPr>
        <w:t xml:space="preserve">roughly flat (~0.48) up to ~50% and then declining to ~0.46 at full replacement.</w:t>
      </w:r>
      <w:r>
        <w:t xml:space="preserve"> </w:t>
      </w:r>
      <w:r>
        <w:t xml:space="preserve">That clean</w:t>
      </w:r>
      <w:r>
        <w:t xml:space="preserve"> </w:t>
      </w:r>
      <w:r>
        <w:t xml:space="preserve">monotonic risk–return trade-off is the central finding. Under this (primary) category-level</w:t>
      </w:r>
      <w:r>
        <w:t xml:space="preserve"> </w:t>
      </w:r>
      <w:r>
        <w:t xml:space="preserve">specification the point-estimate Sharpe is</w:t>
      </w:r>
      <w:r>
        <w:t xml:space="preserve"> </w:t>
      </w:r>
      <w:r>
        <w:rPr>
          <w:bCs/>
          <w:b/>
        </w:rPr>
        <w:t xml:space="preserve">highest at AP5 / low replacement and never rises</w:t>
      </w:r>
      <w:r>
        <w:rPr>
          <w:bCs/>
          <w:b/>
        </w:rPr>
        <w:t xml:space="preserve"> </w:t>
      </w:r>
      <w:r>
        <w:rPr>
          <w:bCs/>
          <w:b/>
        </w:rPr>
        <w:t xml:space="preserve">above it</w:t>
      </w:r>
      <w:r>
        <w:t xml:space="preserve"> </w:t>
      </w:r>
      <w:r>
        <w:t xml:space="preserve">— i.e. there is</w:t>
      </w:r>
      <w:r>
        <w:t xml:space="preserve"> </w:t>
      </w:r>
      <w:r>
        <w:rPr>
          <w:bCs/>
          <w:b/>
        </w:rPr>
        <w:t xml:space="preserve">no partial-replacement Sharpe peak</w:t>
      </w:r>
      <w:r>
        <w:t xml:space="preserve">; low-to-moderate replacement is</w:t>
      </w:r>
      <w:r>
        <w:t xml:space="preserve"> </w:t>
      </w:r>
      <w:r>
        <w:t xml:space="preserve">approximately</w:t>
      </w:r>
      <w:r>
        <w:t xml:space="preserve"> </w:t>
      </w:r>
      <w:r>
        <w:rPr>
          <w:iCs/>
          <w:i/>
        </w:rPr>
        <w:t xml:space="preserve">Sharpe-neutral</w:t>
      </w:r>
      <w:r>
        <w:t xml:space="preserve"> </w:t>
      </w:r>
      <w:r>
        <w:t xml:space="preserve">while adding return-and-risk, and full replacement is weakly worse</w:t>
      </w:r>
      <w:r>
        <w:t xml:space="preserve"> </w:t>
      </w:r>
      <w:r>
        <w:t xml:space="preserve">on Sharpe and clearly worse on downside.</w:t>
      </w:r>
    </w:p>
    <w:bookmarkEnd w:id="26"/>
    <w:bookmarkStart w:id="27" w:name="Xacc99c98fadb5d09c3daa8b32e5a2e39e2ec5f6"/>
    <w:p>
      <w:pPr>
        <w:pStyle w:val="Heading3"/>
      </w:pPr>
      <w:r>
        <w:t xml:space="preserve">6.3 Statistical uncertainty — bootstrap (fig. 09)</w:t>
      </w:r>
    </w:p>
    <w:p>
      <w:pPr>
        <w:pStyle w:val="FirstParagraph"/>
      </w:pPr>
      <w:r>
        <w:t xml:space="preserve">Paired stationary block bootstrap (3,000 paths, mean block 6 months) of the</w:t>
      </w:r>
      <w:r>
        <w:t xml:space="preserve"> </w:t>
      </w:r>
      <w:r>
        <w:rPr>
          <w:bCs/>
          <w:b/>
        </w:rPr>
        <w:t xml:space="preserve">realised monthly</w:t>
      </w:r>
      <w:r>
        <w:rPr>
          <w:bCs/>
          <w:b/>
        </w:rPr>
        <w:t xml:space="preserve"> </w:t>
      </w:r>
      <w:r>
        <w:rPr>
          <w:bCs/>
          <w:b/>
        </w:rPr>
        <w:t xml:space="preserve">returns generated by the band-rebalanced strategies</w:t>
      </w:r>
      <w:r>
        <w:t xml:space="preserve"> </w:t>
      </w:r>
      <w:r>
        <w:t xml:space="preserve">— i.e. it quantifies sampling uncertainty</w:t>
      </w:r>
      <w:r>
        <w:t xml:space="preserve"> </w:t>
      </w:r>
      <w:r>
        <w:t xml:space="preserve">conditional on the realised return process, not full model/strategy uncertainty. Differences</w:t>
      </w:r>
      <w:r>
        <w:t xml:space="preserve"> </w:t>
      </w:r>
      <w:r>
        <w:t xml:space="preserve">vs AP5: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P(ΔCAGR&gt;0)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ΔSharpe [5%, 95%] · P(&gt;0)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P(worse MaxDD)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P(worse CVaR95)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[−0.03, +0.03] · 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[−0.07, +0.07] · 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[−0.14, +0.11] · 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≈100%</w:t>
            </w:r>
          </w:p>
        </w:tc>
      </w:tr>
    </w:tbl>
    <w:p>
      <w:pPr>
        <w:pStyle w:val="BodyText"/>
      </w:pPr>
      <w:r>
        <w:t xml:space="preserve">Reading:</w:t>
      </w:r>
      <w:r>
        <w:t xml:space="preserve"> </w:t>
      </w:r>
      <w:r>
        <w:rPr>
          <w:bCs/>
          <w:b/>
        </w:rPr>
        <w:t xml:space="preserve">return rises but not significantly</w:t>
      </w:r>
      <w:r>
        <w:t xml:space="preserve"> </w:t>
      </w:r>
      <w:r>
        <w:t xml:space="preserve">— P(ΔCAGR&gt;0) ≈ 82–84%, CI includes zero (H1</w:t>
      </w:r>
      <w:r>
        <w:t xml:space="preserve"> </w:t>
      </w:r>
      <w:r>
        <w:t xml:space="preserve">descriptive).</w:t>
      </w:r>
      <w:r>
        <w:t xml:space="preserve"> </w:t>
      </w:r>
      <w:r>
        <w:rPr>
          <w:bCs/>
          <w:b/>
        </w:rPr>
        <w:t xml:space="preserve">No replacement level produces a Sharpe gain distinguishable from zero</w:t>
      </w:r>
      <w:r>
        <w:t xml:space="preserve"> </w:t>
      </w:r>
      <w:r>
        <w:t xml:space="preserve">(every</w:t>
      </w:r>
      <w:r>
        <w:t xml:space="preserve"> </w:t>
      </w:r>
      <w:r>
        <w:t xml:space="preserve">ΔSharpe CI straddles 0, and P(ΔSharpe&gt;0) is ≤ 45% throughout — the point estimate slightly</w:t>
      </w:r>
      <w:r>
        <w:t xml:space="preserve"> </w:t>
      </w:r>
      <w:r>
        <w:rPr>
          <w:iCs/>
          <w:i/>
        </w:rPr>
        <w:t xml:space="preserve">favours AP5</w:t>
      </w:r>
      <w:r>
        <w:t xml:space="preserve">). Drawdown</w:t>
      </w:r>
      <w:r>
        <w:t xml:space="preserve"> </w:t>
      </w:r>
      <w:r>
        <w:rPr>
          <w:iCs/>
          <w:i/>
        </w:rPr>
        <w:t xml:space="preserve">favours</w:t>
      </w:r>
      <w:r>
        <w:t xml:space="preserve"> </w:t>
      </w:r>
      <w:r>
        <w:t xml:space="preserve">worse but its 95% CI still includes zero (H2a suggestive).</w:t>
      </w:r>
      <w:r>
        <w:t xml:space="preserve"> </w:t>
      </w:r>
      <w:r>
        <w:rPr>
          <w:bCs/>
          <w:b/>
        </w:rPr>
        <w:t xml:space="preserve">Tail loss (CVaR) is the decisive downside result</w:t>
      </w:r>
      <w:r>
        <w:t xml:space="preserve"> </w:t>
      </w:r>
      <w:r>
        <w:t xml:space="preserve">— worse with ≈99–100% probability from a 20%</w:t>
      </w:r>
      <w:r>
        <w:t xml:space="preserve"> </w:t>
      </w:r>
      <w:r>
        <w:t xml:space="preserve">replacement (robust to the 90% vs 95% CVaR threshold and to bootstrap block lengths of 3/6/12</w:t>
      </w:r>
      <w:r>
        <w:t xml:space="preserve"> </w:t>
      </w:r>
      <w:r>
        <w:t xml:space="preserve">months; H2b strong evidence). The return–risk</w:t>
      </w:r>
      <w:r>
        <w:t xml:space="preserve"> </w:t>
      </w:r>
      <w:r>
        <w:rPr>
          <w:iCs/>
          <w:i/>
        </w:rPr>
        <w:t xml:space="preserve">trade-off</w:t>
      </w:r>
      <w:r>
        <w:t xml:space="preserve"> </w:t>
      </w:r>
      <w:r>
        <w:t xml:space="preserve">is real; a Sharpe</w:t>
      </w:r>
      <w:r>
        <w:t xml:space="preserve"> </w:t>
      </w:r>
      <w:r>
        <w:rPr>
          <w:iCs/>
          <w:i/>
        </w:rPr>
        <w:t xml:space="preserve">edge</w:t>
      </w:r>
      <w:r>
        <w:t xml:space="preserve"> </w:t>
      </w:r>
      <w:r>
        <w:t xml:space="preserve">is not</w:t>
      </w:r>
      <w:r>
        <w:t xml:space="preserve"> </w:t>
      </w:r>
      <w:r>
        <w:t xml:space="preserve">established.</w:t>
      </w:r>
    </w:p>
    <w:bookmarkEnd w:id="27"/>
    <w:bookmarkStart w:id="28" w:name="X07a2e537d36f598d8a3576499bee861c4eb4d2e"/>
    <w:p>
      <w:pPr>
        <w:pStyle w:val="Heading3"/>
      </w:pPr>
      <w:r>
        <w:t xml:space="preserve">6.4 Crisis behaviour — 2020 vs 2022 (illustrative stress windows)</w:t>
      </w:r>
    </w:p>
    <w:p>
      <w:pPr>
        <w:pStyle w:val="FirstParagraph"/>
      </w:pPr>
      <w:r>
        <w:t xml:space="preserve">Total return over each window, net of fees. These are</w:t>
      </w:r>
      <w:r>
        <w:t xml:space="preserve"> </w:t>
      </w:r>
      <w:r>
        <w:rPr>
          <w:bCs/>
          <w:b/>
        </w:rPr>
        <w:t xml:space="preserve">illustrative windows selected ex post</w:t>
      </w:r>
      <w:r>
        <w:rPr>
          <w:bCs/>
          <w:b/>
        </w:rPr>
        <w:t xml:space="preserve"> </w:t>
      </w:r>
      <w:r>
        <w:rPr>
          <w:bCs/>
          <w:b/>
        </w:rPr>
        <w:t xml:space="preserve">to examine distinct shock types</w:t>
      </w:r>
      <w:r>
        <w:t xml:space="preserve">, not formal out-of-sample stress tests: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Stress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COVID crash 2020 (Jan–Apr)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−6.1%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shock 2022 (Dec21–Oct22)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−9.0%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−6.1%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SVB stress 2023 (Feb–May)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−1.4%</w:t>
            </w:r>
          </w:p>
        </w:tc>
      </w:tr>
    </w:tbl>
    <w:p>
      <w:pPr>
        <w:pStyle w:val="BodyText"/>
      </w:pPr>
      <w:r>
        <w:t xml:space="preserve">The two crises point opposite ways: in the</w:t>
      </w:r>
      <w:r>
        <w:t xml:space="preserve"> </w:t>
      </w:r>
      <w:r>
        <w:rPr>
          <w:bCs/>
          <w:b/>
        </w:rPr>
        <w:t xml:space="preserve">deflationary flight-to-quality shock (2020)</w:t>
      </w:r>
      <w:r>
        <w:t xml:space="preserve"> </w:t>
      </w:r>
      <w:r>
        <w:t xml:space="preserve">bonds protected and replacement hurt; in the</w:t>
      </w:r>
      <w:r>
        <w:t xml:space="preserve"> </w:t>
      </w:r>
      <w:r>
        <w:rPr>
          <w:bCs/>
          <w:b/>
        </w:rPr>
        <w:t xml:space="preserve">inflationary rate shock (2022)</w:t>
      </w:r>
      <w:r>
        <w:t xml:space="preserve"> </w:t>
      </w:r>
      <w:r>
        <w:t xml:space="preserve">bonds and</w:t>
      </w:r>
      <w:r>
        <w:t xml:space="preserve"> </w:t>
      </w:r>
      <w:r>
        <w:t xml:space="preserve">equities fell together and replacement helped. Replacement changes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crisis you are</w:t>
      </w:r>
      <w:r>
        <w:t xml:space="preserve"> </w:t>
      </w:r>
      <w:r>
        <w:t xml:space="preserve">protected against — it does not remove crisis risk.</w:t>
      </w:r>
    </w:p>
    <w:p>
      <w:pPr>
        <w:pStyle w:val="BlockText"/>
      </w:pPr>
      <w:r>
        <w:rPr>
          <w:bCs/>
          <w:b/>
        </w:rPr>
        <w:t xml:space="preserve">Sample-window caveat.</w:t>
      </w:r>
      <w:r>
        <w:t xml:space="preserve"> </w:t>
      </w:r>
      <w:r>
        <w:t xml:space="preserve">The 2008–09 GFC and the short R4 window (2024–26, ~28 months,</w:t>
      </w:r>
      <w:r>
        <w:t xml:space="preserve"> </w:t>
      </w:r>
      <w:r>
        <w:t xml:space="preserve">where a Sharpe of ~1.4 should not be over-interpreted) materially influence the level and</w:t>
      </w:r>
      <w:r>
        <w:t xml:space="preserve"> </w:t>
      </w:r>
      <w:r>
        <w:t xml:space="preserve">Sharpe estimates. Excluding 2008–09 (the 2010+ run) lifts all Sharpes to ~0.58–0.61 — so the</w:t>
      </w:r>
      <w:r>
        <w:t xml:space="preserve"> </w:t>
      </w:r>
      <w:r>
        <w:rPr>
          <w:iCs/>
          <w:i/>
        </w:rPr>
        <w:t xml:space="preserve">level</w:t>
      </w:r>
      <w:r>
        <w:t xml:space="preserve"> </w:t>
      </w:r>
      <w:r>
        <w:t xml:space="preserve">of the statistics is not independent of the GFC sample, even though the</w:t>
      </w:r>
      <w:r>
        <w:t xml:space="preserve"> </w:t>
      </w:r>
      <w:r>
        <w:rPr>
          <w:iCs/>
          <w:i/>
        </w:rPr>
        <w:t xml:space="preserve">qualitative</w:t>
      </w:r>
      <w:r>
        <w:t xml:space="preserve"> </w:t>
      </w:r>
      <w:r>
        <w:t xml:space="preserve">conclusion (Sharpe flat-to-declining in replacement; full replacement deepens downside) is</w:t>
      </w:r>
      <w:r>
        <w:t xml:space="preserve"> </w:t>
      </w:r>
      <w:r>
        <w:t xml:space="preserve">unchanged.</w:t>
      </w:r>
    </w:p>
    <w:bookmarkEnd w:id="28"/>
    <w:bookmarkEnd w:id="29"/>
    <w:bookmarkStart w:id="30" w:name="Xc3025eb81a08981cd83461d19639a2b22df5814"/>
    <w:p>
      <w:pPr>
        <w:pStyle w:val="Heading2"/>
      </w:pPr>
      <w:r>
        <w:t xml:space="preserve">7. Robustness — does the conclusion survive? (</w:t>
      </w:r>
      <w:r>
        <w:rPr>
          <w:rStyle w:val="VerbatimChar"/>
        </w:rPr>
        <w:t xml:space="preserve">analysis/robustness_sensitivity.csv</w:t>
      </w:r>
      <w:r>
        <w:t xml:space="preserve">)</w:t>
      </w:r>
    </w:p>
    <w:p>
      <w:pPr>
        <w:pStyle w:val="FirstParagraph"/>
      </w:pPr>
      <w:r>
        <w:t xml:space="preserve">Across the</w:t>
      </w:r>
      <w:r>
        <w:t xml:space="preserve"> </w:t>
      </w:r>
      <w:r>
        <w:rPr>
          <w:bCs/>
          <w:b/>
        </w:rPr>
        <w:t xml:space="preserve">tested specifications</w:t>
      </w:r>
      <w:r>
        <w:t xml:space="preserve"> </w:t>
      </w:r>
      <w:r>
        <w:t xml:space="preserve">— rebalancing band (±5/8/10/15/20%, base ±8%), transaction</w:t>
      </w:r>
      <w:r>
        <w:t xml:space="preserve"> </w:t>
      </w:r>
      <w:r>
        <w:t xml:space="preserve">cost (0–50 bps), the CHF-hedge assumption, and the 2008–09 short-bond</w:t>
      </w:r>
      <w:r>
        <w:t xml:space="preserve"> </w:t>
      </w:r>
      <w:r>
        <w:rPr>
          <w:bCs/>
          <w:b/>
        </w:rPr>
        <w:t xml:space="preserve">sample-window</w:t>
      </w:r>
      <w:r>
        <w:t xml:space="preserve"> </w:t>
      </w:r>
      <w:r>
        <w:t xml:space="preserve">sensitivity (full sample vs 2010+) —</w:t>
      </w:r>
      <w:r>
        <w:t xml:space="preserve"> </w:t>
      </w:r>
      <w:r>
        <w:rPr>
          <w:bCs/>
          <w:b/>
        </w:rPr>
        <w:t xml:space="preserve">full replacement deepens drawdown in every single tested</w:t>
      </w:r>
      <w:r>
        <w:rPr>
          <w:bCs/>
          <w:b/>
        </w:rPr>
        <w:t xml:space="preserve"> </w:t>
      </w:r>
      <w:r>
        <w:rPr>
          <w:bCs/>
          <w:b/>
        </w:rPr>
        <w:t xml:space="preserve">specification, and worsens CVaR95 in every one as well</w:t>
      </w:r>
      <w:r>
        <w:t xml:space="preserve"> </w:t>
      </w:r>
      <w:r>
        <w:t xml:space="preserve">(the sensitivity matrix now reports</w:t>
      </w:r>
      <w:r>
        <w:t xml:space="preserve"> </w:t>
      </w:r>
      <w:r>
        <w:rPr>
          <w:rStyle w:val="VerbatimChar"/>
        </w:rPr>
        <w:t xml:space="preserve">AP5_CVaR95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repl100_CVaR95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full_worse_CVaR95</w:t>
      </w:r>
      <w:r>
        <w:t xml:space="preserve"> </w:t>
      </w:r>
      <w:r>
        <w:t xml:space="preserve">alongside drawdown, and the bootstrap</w:t>
      </w:r>
      <w:r>
        <w:t xml:space="preserve"> </w:t>
      </w:r>
      <w:r>
        <w:t xml:space="preserve">confirms the same tail-loss deterioration with ≈100% probability). Under the primary</w:t>
      </w:r>
      <w:r>
        <w:t xml:space="preserve"> </w:t>
      </w:r>
      <w:r>
        <w:t xml:space="preserve">category-level specification</w:t>
      </w:r>
      <w:r>
        <w:t xml:space="preserve"> </w:t>
      </w:r>
      <w:r>
        <w:rPr>
          <w:bCs/>
          <w:b/>
        </w:rPr>
        <w:t xml:space="preserve">partial replacement is essentially Sharpe-neutral, not</w:t>
      </w:r>
      <w:r>
        <w:rPr>
          <w:bCs/>
          <w:b/>
        </w:rPr>
        <w:t xml:space="preserve"> </w:t>
      </w:r>
      <w:r>
        <w:rPr>
          <w:bCs/>
          <w:b/>
        </w:rPr>
        <w:t xml:space="preserve">Sharpe-superior</w:t>
      </w:r>
      <w:r>
        <w:t xml:space="preserve">: at the base ±8% band, repl-20 Sharpe 0.482 is a hair</w:t>
      </w:r>
      <w:r>
        <w:t xml:space="preserve"> </w:t>
      </w:r>
      <w:r>
        <w:rPr>
          <w:iCs/>
          <w:i/>
        </w:rPr>
        <w:t xml:space="preserve">below</w:t>
      </w:r>
      <w:r>
        <w:t xml:space="preserve"> </w:t>
      </w:r>
      <w:r>
        <w:t xml:space="preserve">AP5 0.483, and</w:t>
      </w:r>
      <w:r>
        <w:t xml:space="preserve"> </w:t>
      </w:r>
      <w:r>
        <w:t xml:space="preserve">across the band/cost grid partial replacement is at best tied with AP5 (it edges marginally ahead</w:t>
      </w:r>
      <w:r>
        <w:t xml:space="preserve"> </w:t>
      </w:r>
      <w:r>
        <w:t xml:space="preserve">only at the widest ±15% band and in the 2010+ sub-sample). Leaving HY/EM</w:t>
      </w:r>
      <w:r>
        <w:t xml:space="preserve"> </w:t>
      </w:r>
      <w:r>
        <w:rPr>
          <w:bCs/>
          <w:b/>
        </w:rPr>
        <w:t xml:space="preserve">unhedged</w:t>
      </w:r>
      <w:r>
        <w:t xml:space="preserve"> </w:t>
      </w:r>
      <w:r>
        <w:t xml:space="preserve">widens the</w:t>
      </w:r>
      <w:r>
        <w:t xml:space="preserve"> </w:t>
      </w:r>
      <w:r>
        <w:t xml:space="preserve">gap the other way (repl-20 0.476 vs AP5 0.483; repl-100 0.442 vs 0.461). So the robust,</w:t>
      </w:r>
      <w:r>
        <w:t xml:space="preserve"> </w:t>
      </w:r>
      <w:r>
        <w:t xml:space="preserve">unconditional result is unchanged and if anything sharper:</w:t>
      </w:r>
      <w:r>
        <w:t xml:space="preserve"> </w:t>
      </w:r>
      <w:r>
        <w:rPr>
          <w:bCs/>
          <w:b/>
        </w:rPr>
        <w:t xml:space="preserve">full replacement clearly worsens</w:t>
      </w:r>
      <w:r>
        <w:rPr>
          <w:bCs/>
          <w:b/>
        </w:rPr>
        <w:t xml:space="preserve"> </w:t>
      </w:r>
      <w:r>
        <w:rPr>
          <w:bCs/>
          <w:b/>
        </w:rPr>
        <w:t xml:space="preserve">downside and does not improve Sharpe; partial replacement buys extra return-and-risk at roughly</w:t>
      </w:r>
      <w:r>
        <w:rPr>
          <w:bCs/>
          <w:b/>
        </w:rPr>
        <w:t xml:space="preserve"> </w:t>
      </w:r>
      <w:r>
        <w:rPr>
          <w:bCs/>
          <w:b/>
        </w:rPr>
        <w:t xml:space="preserve">constant Sharpe.</w:t>
      </w:r>
      <w:r>
        <w:t xml:space="preserve"> </w:t>
      </w:r>
      <w:r>
        <w:t xml:space="preserve">There is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specification in which replacement delivers a</w:t>
      </w:r>
      <w:r>
        <w:t xml:space="preserve"> </w:t>
      </w:r>
      <w:r>
        <w:rPr>
          <w:iCs/>
          <w:i/>
        </w:rPr>
        <w:t xml:space="preserve">reliable</w:t>
      </w:r>
      <w:r>
        <w:t xml:space="preserve"> </w:t>
      </w:r>
      <w:r>
        <w:t xml:space="preserve">risk-adjusted advantage. (The 2010+ sample also changes the period/GFC exposure, so it is a</w:t>
      </w:r>
      <w:r>
        <w:t xml:space="preserve"> </w:t>
      </w:r>
      <w:r>
        <w:rPr>
          <w:iCs/>
          <w:i/>
        </w:rPr>
        <w:t xml:space="preserve">sample-window</w:t>
      </w:r>
      <w:r>
        <w:t xml:space="preserve"> </w:t>
      </w:r>
      <w:r>
        <w:t xml:space="preserve">test, not a pure splice test.)</w:t>
      </w:r>
    </w:p>
    <w:p>
      <w:pPr>
        <w:pStyle w:val="BodyText"/>
      </w:pPr>
      <w:r>
        <w:t xml:space="preserve">The conclusion is also</w:t>
      </w:r>
      <w:r>
        <w:t xml:space="preserve"> </w:t>
      </w:r>
      <w:r>
        <w:rPr>
          <w:bCs/>
          <w:b/>
        </w:rPr>
        <w:t xml:space="preserve">robust to the band architecture itself</w:t>
      </w:r>
      <w:r>
        <w:t xml:space="preserve">: monitoring every constituent</w:t>
      </w:r>
      <w:r>
        <w:t xml:space="preserve"> </w:t>
      </w:r>
      <w:r>
        <w:t xml:space="preserve">with its own ±8% band rebalances far more often but leaves CAGR/Sharpe/MaxDD essentially</w:t>
      </w:r>
      <w:r>
        <w:t xml:space="preserve"> </w:t>
      </w:r>
      <w:r>
        <w:t xml:space="preserve">identical, confirming the category-level primary specification is not doing the work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analysis/robustness_granular_vs_category.csv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Band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AP5 CAGR / Sharpe / MaxDD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rebalances (AP5 / 20 / 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 / 0.48 / −20.3%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3.7% / 0.48 / −21.9%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4.3% / 0.46 / −28.0%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/ 37 / 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Per-constituent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 / 0.48 / −20.4%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3.6% / 0.48 / −21.8%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4.3% / 0.46 / −27.9%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/ 92 / 96</w:t>
            </w:r>
          </w:p>
        </w:tc>
      </w:tr>
    </w:tbl>
    <w:bookmarkEnd w:id="30"/>
    <w:bookmarkStart w:id="31" w:name="Xfc36b13871caf1f9162ab9e1ca3df3190bba41e"/>
    <w:p>
      <w:pPr>
        <w:pStyle w:val="Heading2"/>
      </w:pPr>
      <w:r>
        <w:t xml:space="preserve">8. Instrument selection — an</w:t>
      </w:r>
      <w:r>
        <w:t xml:space="preserve"> </w:t>
      </w:r>
      <w:r>
        <w:rPr>
          <w:iCs/>
          <w:i/>
        </w:rPr>
        <w:t xml:space="preserve">ex-post</w:t>
      </w:r>
      <w:r>
        <w:t xml:space="preserve"> </w:t>
      </w:r>
      <w:r>
        <w:t xml:space="preserve">observation (fig. 08)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curated</w:t>
      </w:r>
      <w:r>
        <w:t xml:space="preserve"> </w:t>
      </w:r>
      <w:r>
        <w:t xml:space="preserve">basket (HY 35 / EM 30 / gold 20 / infra 15) that drops the two money-losers</w:t>
      </w:r>
      <w:r>
        <w:t xml:space="preserve"> </w:t>
      </w:r>
      <w:r>
        <w:t xml:space="preserve">lifts the full-replacement Sharpe to ~0.52.</w:t>
      </w:r>
      <w:r>
        <w:t xml:space="preserve"> </w:t>
      </w:r>
      <w:r>
        <w:rPr>
          <w:bCs/>
          <w:b/>
        </w:rPr>
        <w:t xml:space="preserve">This is an ex-post, exploratory result</w:t>
      </w:r>
      <w:r>
        <w:t xml:space="preserve"> </w:t>
      </w:r>
      <w:r>
        <w:t xml:space="preserve">— the</w:t>
      </w:r>
      <w:r>
        <w:t xml:space="preserve"> </w:t>
      </w:r>
      <w:r>
        <w:t xml:space="preserve">weights were chosen after seeing full-sample outcomes, so it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evidence that such a</w:t>
      </w:r>
      <w:r>
        <w:t xml:space="preserve"> </w:t>
      </w:r>
      <w:r>
        <w:t xml:space="preserve">basket would have been chosen prospectively, and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drive the recommendation. It</w:t>
      </w:r>
      <w:r>
        <w:t xml:space="preserve"> </w:t>
      </w:r>
      <w:r>
        <w:t xml:space="preserve">shows only that</w:t>
      </w:r>
      <w:r>
        <w:t xml:space="preserve"> </w:t>
      </w:r>
      <w:r>
        <w:rPr>
          <w:bCs/>
          <w:b/>
        </w:rPr>
        <w:t xml:space="preserve">instrument selection materially affects the results, in addition to the</w:t>
      </w:r>
      <w:r>
        <w:rPr>
          <w:bCs/>
          <w:b/>
        </w:rPr>
        <w:t xml:space="preserve"> </w:t>
      </w:r>
      <w:r>
        <w:rPr>
          <w:bCs/>
          <w:b/>
        </w:rPr>
        <w:t xml:space="preserve">replacement fraction</w:t>
      </w:r>
      <w:r>
        <w:t xml:space="preserve"> </w:t>
      </w:r>
      <w:r>
        <w:t xml:space="preserve">— a motivation for out-of-sample basket selection as future work.</w:t>
      </w:r>
    </w:p>
    <w:bookmarkEnd w:id="31"/>
    <w:bookmarkStart w:id="32" w:name="X3d4237cee8df031536123adae02fc9a522781c0"/>
    <w:p>
      <w:pPr>
        <w:pStyle w:val="Heading2"/>
      </w:pPr>
      <w:r>
        <w:t xml:space="preserve">9. Recommendation and economic interpretation</w:t>
      </w:r>
    </w:p>
    <w:p>
      <w:pPr>
        <w:pStyle w:val="FirstParagraph"/>
      </w:pPr>
      <w:r>
        <w:rPr>
          <w:bCs/>
          <w:b/>
        </w:rPr>
        <w:t xml:space="preserve">Economic conclusion.</w:t>
      </w:r>
      <w:r>
        <w:t xml:space="preserve"> </w:t>
      </w:r>
      <w:r>
        <w:t xml:space="preserve">You are not really replacing</w:t>
      </w:r>
      <w:r>
        <w:t xml:space="preserve"> </w:t>
      </w:r>
      <w:r>
        <w:rPr>
          <w:iCs/>
          <w:i/>
        </w:rPr>
        <w:t xml:space="preserve">bonds</w:t>
      </w:r>
      <w:r>
        <w:t xml:space="preserve">; you are replacing</w:t>
      </w:r>
      <w:r>
        <w:t xml:space="preserve"> </w:t>
      </w:r>
      <w:r>
        <w:rPr>
          <w:iCs/>
          <w:i/>
        </w:rPr>
        <w:t xml:space="preserve">parts of what</w:t>
      </w:r>
      <w:r>
        <w:rPr>
          <w:iCs/>
          <w:i/>
        </w:rPr>
        <w:t xml:space="preserve"> </w:t>
      </w:r>
      <w:r>
        <w:rPr>
          <w:iCs/>
          <w:i/>
        </w:rPr>
        <w:t xml:space="preserve">bonds do</w:t>
      </w:r>
      <w:r>
        <w:t xml:space="preserve">. The evidence supports replacing bond</w:t>
      </w:r>
      <w:r>
        <w:t xml:space="preserve"> </w:t>
      </w:r>
      <w:r>
        <w:rPr>
          <w:bCs/>
          <w:b/>
        </w:rPr>
        <w:t xml:space="preserve">return/carry</w:t>
      </w:r>
      <w:r>
        <w:t xml:space="preserve">, some</w:t>
      </w:r>
      <w:r>
        <w:t xml:space="preserve"> </w:t>
      </w:r>
      <w:r>
        <w:rPr>
          <w:bCs/>
          <w:b/>
        </w:rPr>
        <w:t xml:space="preserve">inflation</w:t>
      </w:r>
      <w:r>
        <w:t xml:space="preserve"> </w:t>
      </w:r>
      <w:r>
        <w:t xml:space="preserve">exposure</w:t>
      </w:r>
      <w:r>
        <w:t xml:space="preserve"> </w:t>
      </w:r>
      <w:r>
        <w:t xml:space="preserve">and some</w:t>
      </w:r>
      <w:r>
        <w:t xml:space="preserve"> </w:t>
      </w:r>
      <w:r>
        <w:rPr>
          <w:bCs/>
          <w:b/>
        </w:rPr>
        <w:t xml:space="preserve">diversification</w:t>
      </w:r>
      <w:r>
        <w:t xml:space="preserve">, but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duration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flight-to-quality</w:t>
      </w:r>
      <w:r>
        <w:t xml:space="preserve"> </w:t>
      </w:r>
      <w:r>
        <w:t xml:space="preserve">functions —</w:t>
      </w:r>
      <w:r>
        <w:t xml:space="preserve"> </w:t>
      </w:r>
      <w:r>
        <w:t xml:space="preserve">which is exactly why replacement raises return while worsening tail loss and 2020-type crash</w:t>
      </w:r>
      <w:r>
        <w:t xml:space="preserve"> </w:t>
      </w:r>
      <w:r>
        <w:t xml:space="preserve">protection.</w:t>
      </w:r>
    </w:p>
    <w:p>
      <w:pPr>
        <w:pStyle w:val="BodyText"/>
      </w:pPr>
      <w:r>
        <w:rPr>
          <w:bCs/>
          <w:b/>
        </w:rPr>
        <w:t xml:space="preserve">Practical recommendation.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Favour partial over wholesale replacement.</w:t>
      </w:r>
      <w:r>
        <w:t xml:space="preserve"> </w:t>
      </w:r>
      <w:r>
        <w:t xml:space="preserve">Under the category-level specification the Sharpe</w:t>
      </w:r>
      <w:r>
        <w:t xml:space="preserve"> </w:t>
      </w:r>
      <w:r>
        <w:t xml:space="preserve">is essentially</w:t>
      </w:r>
      <w:r>
        <w:t xml:space="preserve"> </w:t>
      </w:r>
      <w:r>
        <w:rPr>
          <w:bCs/>
          <w:b/>
        </w:rPr>
        <w:t xml:space="preserve">flat (~0.48) from AP5 through ~50% replacement</w:t>
      </w:r>
      <w:r>
        <w:t xml:space="preserve"> </w:t>
      </w:r>
      <w:r>
        <w:t xml:space="preserve">and then declines — there is</w:t>
      </w:r>
      <w:r>
        <w:t xml:space="preserve"> </w:t>
      </w:r>
      <w:r>
        <w:rPr>
          <w:bCs/>
          <w:b/>
        </w:rPr>
        <w:t xml:space="preserve">no partial-replacement Sharpe peak</w:t>
      </w:r>
      <w:r>
        <w:t xml:space="preserve"> </w:t>
      </w:r>
      <w:r>
        <w:t xml:space="preserve">and no level statistically distinguishable from AP5 on</w:t>
      </w:r>
      <w:r>
        <w:t xml:space="preserve"> </w:t>
      </w:r>
      <w:r>
        <w:t xml:space="preserve">risk-adjusted return. Low-to-moderate replacement is therefore a defensible</w:t>
      </w:r>
      <w:r>
        <w:t xml:space="preserve"> </w:t>
      </w:r>
      <w:r>
        <w:rPr>
          <w:iCs/>
          <w:i/>
        </w:rPr>
        <w:t xml:space="preserve">compromise</w:t>
      </w:r>
      <w:r>
        <w:t xml:space="preserve"> </w:t>
      </w:r>
      <w:r>
        <w:t xml:space="preserve">that</w:t>
      </w:r>
      <w:r>
        <w:t xml:space="preserve"> </w:t>
      </w:r>
      <w:r>
        <w:t xml:space="preserve">adds return-and-risk at roughly constant Sharpe,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risk-adjusted improvement and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unique optimum. If the goal is unchanged risk-adjusted performance with more return (and the</w:t>
      </w:r>
      <w:r>
        <w:t xml:space="preserve"> </w:t>
      </w:r>
      <w:r>
        <w:t xml:space="preserve">investor accepts the deeper tail loss), a low replacement fraction is the honest sweet spot;</w:t>
      </w:r>
      <w:r>
        <w:t xml:space="preserve"> </w:t>
      </w:r>
      <w:r>
        <w:t xml:space="preserve">if the goal is to</w:t>
      </w:r>
      <w:r>
        <w:t xml:space="preserve"> </w:t>
      </w:r>
      <w:r>
        <w:rPr>
          <w:iCs/>
          <w:i/>
        </w:rPr>
        <w:t xml:space="preserve">improve</w:t>
      </w:r>
      <w:r>
        <w:t xml:space="preserve"> </w:t>
      </w:r>
      <w:r>
        <w:t xml:space="preserve">Sharpe, the evidence supports</w:t>
      </w:r>
      <w:r>
        <w:t xml:space="preserve"> </w:t>
      </w:r>
      <w:r>
        <w:rPr>
          <w:bCs/>
          <w:b/>
        </w:rPr>
        <w:t xml:space="preserve">no replacement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Full replacement is not supported by the evidence</w:t>
      </w:r>
      <w:r>
        <w:t xml:space="preserve">: it materially increases tail loss</w:t>
      </w:r>
      <w:r>
        <w:t xml:space="preserve"> </w:t>
      </w:r>
      <w:r>
        <w:t xml:space="preserve">(CVaR worse with ≈100% bootstrap probability) and deepens drawdown, without delivering a</w:t>
      </w:r>
      <w:r>
        <w:t xml:space="preserve"> </w:t>
      </w:r>
      <w:r>
        <w:t xml:space="preserve">reliable improvement in risk-adjusted performance, and it removes 2020-type protection.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Keep the sleeve's structure</w:t>
      </w:r>
      <w:r>
        <w:t xml:space="preserve"> </w:t>
      </w:r>
      <w:r>
        <w:t xml:space="preserve">(Swiss + world, broad + short-duration).</w:t>
      </w:r>
    </w:p>
    <w:p>
      <w:pPr>
        <w:numPr>
          <w:ilvl w:val="0"/>
          <w:numId w:val="1003"/>
        </w:numPr>
        <w:pStyle w:val="Compact"/>
      </w:pPr>
      <w:r>
        <w:t xml:space="preserve">Instrument selection matters (§8), but should be validated out-of-sample before use.</w:t>
      </w:r>
    </w:p>
    <w:p>
      <w:pPr>
        <w:pStyle w:val="FirstParagraph"/>
      </w:pPr>
      <w:r>
        <w:rPr>
          <w:bCs/>
          <w:b/>
        </w:rPr>
        <w:t xml:space="preserve">Framing.</w:t>
      </w:r>
      <w:r>
        <w:t xml:space="preserve"> </w:t>
      </w:r>
      <w:r>
        <w:t xml:space="preserve">The monotone chain the data show —</w:t>
      </w:r>
      <w:r>
        <w:t xml:space="preserve"> </w:t>
      </w:r>
      <w:r>
        <w:rPr>
          <w:iCs/>
          <w:i/>
        </w:rPr>
        <w:t xml:space="preserve">more replacement → more return → more volatility</w:t>
      </w:r>
      <w:r>
        <w:rPr>
          <w:iCs/>
          <w:i/>
        </w:rPr>
        <w:t xml:space="preserve"> </w:t>
      </w:r>
      <w:r>
        <w:rPr>
          <w:iCs/>
          <w:i/>
        </w:rPr>
        <w:t xml:space="preserve">→ more tail loss, with no reliable Sharpe gain</w:t>
      </w:r>
      <w:r>
        <w:t xml:space="preserve"> </w:t>
      </w:r>
      <w:r>
        <w:t xml:space="preserve">— is not the signature of discovering a superior</w:t>
      </w:r>
      <w:r>
        <w:t xml:space="preserve"> </w:t>
      </w:r>
      <w:r>
        <w:t xml:space="preserve">defensive asset class; it is the signature of</w:t>
      </w:r>
      <w:r>
        <w:t xml:space="preserve"> </w:t>
      </w:r>
      <w:r>
        <w:rPr>
          <w:bCs/>
          <w:b/>
        </w:rPr>
        <w:t xml:space="preserve">spending more of the portfolio's risk budget</w:t>
      </w:r>
      <w:r>
        <w:t xml:space="preserve">.</w:t>
      </w:r>
      <w:r>
        <w:t xml:space="preserve"> </w:t>
      </w:r>
      <w:r>
        <w:t xml:space="preserve">Bond replacement should therefore be interpreted as a</w:t>
      </w:r>
      <w:r>
        <w:t xml:space="preserve"> </w:t>
      </w:r>
      <w:r>
        <w:rPr>
          <w:bCs/>
          <w:b/>
        </w:rPr>
        <w:t xml:space="preserve">strategic reallocation of defensive risk</w:t>
      </w:r>
      <w:r>
        <w:rPr>
          <w:bCs/>
          <w:b/>
        </w:rPr>
        <w:t xml:space="preserve"> </w:t>
      </w:r>
      <w:r>
        <w:rPr>
          <w:bCs/>
          <w:b/>
        </w:rPr>
        <w:t xml:space="preserve">rather than as a search for a one-for-one bond substitute</w:t>
      </w:r>
      <w:r>
        <w:t xml:space="preserve">: the decision is how much crash- and</w:t>
      </w:r>
      <w:r>
        <w:t xml:space="preserve"> </w:t>
      </w:r>
      <w:r>
        <w:t xml:space="preserve">duration-protection the investor is willing to trade for carry and inflation exposure, not</w:t>
      </w:r>
      <w:r>
        <w:t xml:space="preserve"> </w:t>
      </w:r>
      <w:r>
        <w:t xml:space="preserve">whether some alternative "beats" bonds outright.</w:t>
      </w:r>
    </w:p>
    <w:bookmarkEnd w:id="32"/>
    <w:bookmarkStart w:id="33" w:name="X5c6ab09339a7b637247838e5ec2e29f81e53571"/>
    <w:p>
      <w:pPr>
        <w:pStyle w:val="Heading2"/>
      </w:pPr>
      <w:r>
        <w:t xml:space="preserve">Appendix A. Optimisation (secondary, in-sample, not independent)</w:t>
      </w:r>
    </w:p>
    <w:p>
      <w:pPr>
        <w:pStyle w:val="FirstParagraph"/>
      </w:pPr>
      <w:r>
        <w:t xml:space="preserve">Optimising the 42% sleeve in-sample (</w:t>
      </w:r>
      <w:r>
        <w:rPr>
          <w:rStyle w:val="VerbatimChar"/>
        </w:rPr>
        <w:t xml:space="preserve">src/appendix_optimization.py</w:t>
      </w:r>
      <w:r>
        <w:t xml:space="preserve">), net of fees, is</w:t>
      </w:r>
      <w:r>
        <w:t xml:space="preserve"> </w:t>
      </w:r>
      <w:r>
        <w:rPr>
          <w:bCs/>
          <w:b/>
        </w:rPr>
        <w:t xml:space="preserve">not</w:t>
      </w:r>
      <w:r>
        <w:rPr>
          <w:bCs/>
          <w:b/>
        </w:rPr>
        <w:t xml:space="preserve"> </w:t>
      </w:r>
      <w:r>
        <w:rPr>
          <w:bCs/>
          <w:b/>
        </w:rPr>
        <w:t xml:space="preserve">used to determine the recommendation</w:t>
      </w:r>
      <w:r>
        <w:t xml:space="preserve"> </w:t>
      </w:r>
      <w:r>
        <w:t xml:space="preserve">and is</w:t>
      </w:r>
      <w:r>
        <w:t xml:space="preserve"> </w:t>
      </w:r>
      <w:r>
        <w:rPr>
          <w:bCs/>
          <w:b/>
        </w:rPr>
        <w:t xml:space="preserve">not independent evidence</w:t>
      </w:r>
      <w:r>
        <w:t xml:space="preserve"> </w:t>
      </w:r>
      <w:r>
        <w:t xml:space="preserve">(same sample,</w:t>
      </w:r>
      <w:r>
        <w:t xml:space="preserve"> </w:t>
      </w:r>
      <w:r>
        <w:t xml:space="preserve">proxies, fees, construction). It is reported only as a sensitivity to construction choices:</w:t>
      </w:r>
      <w:r>
        <w:t xml:space="preserve"> </w:t>
      </w:r>
      <w:r>
        <w:t xml:space="preserve">min-variance/min-CVaR put the sleeve</w:t>
      </w:r>
      <w:r>
        <w:t xml:space="preserve"> </w:t>
      </w:r>
      <w:r>
        <w:rPr>
          <w:bCs/>
          <w:b/>
        </w:rPr>
        <w:t xml:space="preserve">100% into short-duration world bonds</w:t>
      </w:r>
      <w:r>
        <w:t xml:space="preserve">; max-Sharpe</w:t>
      </w:r>
      <w:r>
        <w:t xml:space="preserve"> </w:t>
      </w:r>
      <w:r>
        <w:t xml:space="preserve">keeps ~30% Swiss bonds + a capped gold sleeve — i.e. even with hindsight, no optimiser</w:t>
      </w:r>
      <w:r>
        <w:t xml:space="preserve"> </w:t>
      </w:r>
      <w:r>
        <w:t xml:space="preserve">abandons bonds. Caps are</w:t>
      </w:r>
      <w:r>
        <w:t xml:space="preserve"> </w:t>
      </w:r>
      <w:r>
        <w:rPr>
          <w:bCs/>
          <w:b/>
        </w:rPr>
        <w:t xml:space="preserve">research-imposed</w:t>
      </w:r>
      <w:r>
        <w:t xml:space="preserve">, not a regulatory (OPP2) claim.</w:t>
      </w:r>
    </w:p>
    <w:bookmarkEnd w:id="33"/>
    <w:bookmarkStart w:id="34" w:name="X57d56956c0b631bb6a0ea7bd9242c6129e94934"/>
    <w:p>
      <w:pPr>
        <w:pStyle w:val="Heading2"/>
      </w:pPr>
      <w:r>
        <w:t xml:space="preserve">10. Limitations</w:t>
      </w:r>
    </w:p>
    <w:p>
      <w:pPr>
        <w:pStyle w:val="FirstParagraph"/>
      </w:pPr>
      <w:r>
        <w:t xml:space="preserve">Market-investable ETF/fund proxies (not the exact VZ funds, and not all directly Swiss-retail</w:t>
      </w:r>
      <w:r>
        <w:t xml:space="preserve"> </w:t>
      </w:r>
      <w:r>
        <w:t xml:space="preserve">accessible, §5); monthly frequency understates intra-month drawdowns and cannot reproduce VZ's</w:t>
      </w:r>
      <w:r>
        <w:t xml:space="preserve"> </w:t>
      </w:r>
      <w:r>
        <w:t xml:space="preserve">intra-month monitoring; foreign-equity CHF total return is a USD-price + FX proxy (a plausible,</w:t>
      </w:r>
      <w:r>
        <w:t xml:space="preserve"> </w:t>
      </w:r>
      <w:r>
        <w:t xml:space="preserve">undecomposed contributor to the validation residual); the CHF hedge and cash are policy-rate</w:t>
      </w:r>
      <w:r>
        <w:t xml:space="preserve"> </w:t>
      </w:r>
      <w:r>
        <w:t xml:space="preserve">approximations (accrued on the</w:t>
      </w:r>
      <w:r>
        <w:t xml:space="preserve"> </w:t>
      </w:r>
      <w:r>
        <w:rPr>
          <w:iCs/>
          <w:i/>
        </w:rPr>
        <w:t xml:space="preserve">prior</w:t>
      </w:r>
      <w:r>
        <w:t xml:space="preserve"> </w:t>
      </w:r>
      <w:r>
        <w:t xml:space="preserve">month-end rate to avoid intra-month look-ahead; a</w:t>
      </w:r>
      <w:r>
        <w:t xml:space="preserve"> </w:t>
      </w:r>
      <w:r>
        <w:t xml:space="preserve">SARON/forward-points refinement is noted); the validation assumes constant within-category index</w:t>
      </w:r>
      <w:r>
        <w:t xml:space="preserve"> </w:t>
      </w:r>
      <w:r>
        <w:t xml:space="preserve">proportions; the short world-bond series is spliced pre-2010; the 2008–09 GFC and short R4</w:t>
      </w:r>
      <w:r>
        <w:t xml:space="preserve"> </w:t>
      </w:r>
      <w:r>
        <w:t xml:space="preserve">window materially affect the</w:t>
      </w:r>
      <w:r>
        <w:t xml:space="preserve"> </w:t>
      </w:r>
      <w:r>
        <w:rPr>
          <w:iCs/>
          <w:i/>
        </w:rPr>
        <w:t xml:space="preserve">level</w:t>
      </w:r>
      <w:r>
        <w:t xml:space="preserve"> </w:t>
      </w:r>
      <w:r>
        <w:t xml:space="preserve">of the statistics; a single historical path (the bootstrap</w:t>
      </w:r>
      <w:r>
        <w:t xml:space="preserve"> </w:t>
      </w:r>
      <w:r>
        <w:t xml:space="preserve">addresses sampling, not model, uncertainty). Regime inference from four buckets is descriptive,</w:t>
      </w:r>
      <w:r>
        <w:t xml:space="preserve"> </w:t>
      </w:r>
      <w:r>
        <w:t xml:space="preserve">not causal. See</w:t>
      </w:r>
      <w:r>
        <w:t xml:space="preserve"> </w:t>
      </w:r>
      <w:r>
        <w:rPr>
          <w:rStyle w:val="VerbatimChar"/>
        </w:rPr>
        <w:t xml:space="preserve">docs/methodology.md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docs/assumptions.md</w:t>
      </w:r>
      <w:r>
        <w:t xml:space="preserve">.</w:t>
      </w:r>
      <w:r>
        <w:t xml:space="preserve"> </w:t>
      </w:r>
      <w:r>
        <w:rPr>
          <w:bCs/>
          <w:b/>
        </w:rPr>
        <w:t xml:space="preserve">The literature review,</w:t>
      </w:r>
      <w:r>
        <w:rPr>
          <w:bCs/>
          <w:b/>
        </w:rPr>
        <w:t xml:space="preserve"> </w:t>
      </w:r>
      <w:r>
        <w:rPr>
          <w:bCs/>
          <w:b/>
        </w:rPr>
        <w:t xml:space="preserve">theoretical framework and references are the author's to write</w:t>
      </w:r>
      <w:r>
        <w:t xml:space="preserve"> </w:t>
      </w:r>
      <w:r>
        <w:t xml:space="preserve">— this is the empirical</w:t>
      </w:r>
      <w:r>
        <w:t xml:space="preserve"> </w:t>
      </w:r>
      <w:r>
        <w:t xml:space="preserve">package. Academic reproduction, not investment advice.</w:t>
      </w:r>
    </w:p>
    <w:p>
      <w:pPr>
        <w:pStyle w:val="BodyText"/>
      </w:pPr>
      <w:r>
        <w:t xml:space="preserve">\newpage</w:t>
      </w:r>
    </w:p>
    <w:bookmarkEnd w:id="34"/>
    <w:bookmarkStart w:id="59" w:name="figures"/>
    <w:p>
      <w:pPr>
        <w:pStyle w:val="Heading2"/>
      </w:pPr>
      <w:r>
        <w:t xml:space="preserve">Figures</w:t>
      </w:r>
    </w:p>
    <w:p>
      <w:pPr>
        <w:pStyle w:val="FirstParagraph"/>
      </w:pPr>
      <w:r>
        <w:rPr>
          <w:bCs/>
          <w:b/>
        </w:rPr>
        <w:t xml:space="preserve">Figure 1 — Cumulative CHF total return, net of fees (2008–2026).</w:t>
      </w:r>
    </w:p>
    <w:p>
      <w:pPr>
        <w:pStyle w:val="BodyText"/>
      </w:pPr>
      <w:r>
        <w:drawing>
          <wp:inline>
            <wp:extent cx="5334000" cy="2807368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/01_cumulative_2008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2 — Validation: reconstructed AP5 vs the real VZ VVIA track record.</w:t>
      </w:r>
    </w:p>
    <w:p>
      <w:pPr>
        <w:pStyle w:val="BodyText"/>
      </w:pPr>
      <w:r>
        <w:drawing>
          <wp:inline>
            <wp:extent cx="5334000" cy="2726266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/02_ap5_validati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3 — Annualised return by SNB rate regime.</w:t>
      </w:r>
    </w:p>
    <w:p>
      <w:pPr>
        <w:pStyle w:val="BodyText"/>
      </w:pPr>
      <w:r>
        <w:drawing>
          <wp:inline>
            <wp:extent cx="5334000" cy="269507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/04_regime_returns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4 — Bond-sleeve behaviour by rate regime.</w:t>
      </w:r>
    </w:p>
    <w:p>
      <w:pPr>
        <w:pStyle w:val="BodyText"/>
      </w:pPr>
      <w:r>
        <w:drawing>
          <wp:inline>
            <wp:extent cx="5334000" cy="2582778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/05_bonds_by_regim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5 — Monthly return correlations (2008–2026).</w:t>
      </w:r>
    </w:p>
    <w:p>
      <w:pPr>
        <w:pStyle w:val="BodyText"/>
      </w:pPr>
      <w:r>
        <w:drawing>
          <wp:inline>
            <wp:extent cx="5334000" cy="4553414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/06_correlati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53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6 — Rolling 24-month equity–bond correlation.</w:t>
      </w:r>
    </w:p>
    <w:p>
      <w:pPr>
        <w:pStyle w:val="BodyText"/>
      </w:pPr>
      <w:r>
        <w:drawing>
          <wp:inline>
            <wp:extent cx="5334000" cy="2245894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/07_rolling_corr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5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7 — Bootstrap ΔSharpe vs AP5 (CI straddles zero) and P(worse drawdown).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/09_bootstrap_ci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8 — Curated vs naïve replacement basket — ex-post (100% replaced).</w:t>
      </w:r>
    </w:p>
    <w:p>
      <w:pPr>
        <w:pStyle w:val="BodyText"/>
      </w:pPr>
      <w:r>
        <w:drawing>
          <wp:inline>
            <wp:extent cx="5334000" cy="2807368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/home/user/bond_replacement_analysis/reports/figures/08_curated_vs_naiv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7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Alternatives to bonds — empirical foundation (VZ AP5, 2008–2026)</dc:title>
  <dc:creator/>
  <cp:keywords/>
  <dcterms:created xsi:type="dcterms:W3CDTF">2026-08-17T07:28:43Z</dcterms:created>
  <dcterms:modified xsi:type="dcterms:W3CDTF">2026-08-17T07:28:43Z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