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9fd6e3ec88a1adefb0c171cff299bcf7ae96119"/>
    <w:p>
      <w:pPr>
        <w:pStyle w:val="Heading1"/>
      </w:pPr>
      <w:r>
        <w:t xml:space="preserve">Alternatives to bonds in a low-rate environment — empirical foundation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CHF, monthly total return, net of fees</w:t>
      </w:r>
    </w:p>
    <w:p>
      <w:pPr>
        <w:pStyle w:val="BlockText"/>
      </w:pPr>
      <w:r>
        <w:t xml:space="preserve">Reframed brief (agreed with the thesis director): find</w:t>
      </w:r>
      <w:r>
        <w:t xml:space="preserve"> </w:t>
      </w:r>
      <w:r>
        <w:rPr>
          <w:bCs/>
          <w:b/>
        </w:rPr>
        <w:t xml:space="preserve">alternatives to the bond sleeve</w:t>
      </w:r>
      <w:r>
        <w:t xml:space="preserve"> </w:t>
      </w:r>
      <w:r>
        <w:t xml:space="preserve">and replace it</w:t>
      </w:r>
      <w:r>
        <w:t xml:space="preserve"> </w:t>
      </w:r>
      <w:r>
        <w:rPr>
          <w:bCs/>
          <w:b/>
        </w:rPr>
        <w:t xml:space="preserve">over the whole 2008–2026 period</w:t>
      </w:r>
      <w:r>
        <w:t xml:space="preserve">, then read the results</w:t>
      </w:r>
      <w:r>
        <w:t xml:space="preserve"> </w:t>
      </w:r>
      <w:r>
        <w:rPr>
          <w:bCs/>
          <w:b/>
        </w:rPr>
        <w:t xml:space="preserve">regime by</w:t>
      </w:r>
      <w:r>
        <w:rPr>
          <w:bCs/>
          <w:b/>
        </w:rPr>
        <w:t xml:space="preserve"> </w:t>
      </w:r>
      <w:r>
        <w:rPr>
          <w:bCs/>
          <w:b/>
        </w:rPr>
        <w:t xml:space="preserve">regime</w:t>
      </w:r>
      <w:r>
        <w:t xml:space="preserve">. Bonds are a problem not only when rates are</w:t>
      </w:r>
      <w:r>
        <w:t xml:space="preserve"> </w:t>
      </w:r>
      <w:r>
        <w:rPr>
          <w:iCs/>
          <w:i/>
        </w:rPr>
        <w:t xml:space="preserve">low</w:t>
      </w:r>
      <w:r>
        <w:t xml:space="preserve"> </w:t>
      </w:r>
      <w:r>
        <w:t xml:space="preserve">but also when they</w:t>
      </w:r>
      <w:r>
        <w:t xml:space="preserve"> </w:t>
      </w:r>
      <w:r>
        <w:rPr>
          <w:iCs/>
          <w:i/>
        </w:rPr>
        <w:t xml:space="preserve">rise</w:t>
      </w:r>
      <w:r>
        <w:t xml:space="preserve">, so</w:t>
      </w:r>
      <w:r>
        <w:t xml:space="preserve"> </w:t>
      </w:r>
      <w:r>
        <w:t xml:space="preserve">the analysis comments on bonds in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SNB regime — which removes the need for a contested</w:t>
      </w:r>
      <w:r>
        <w:t xml:space="preserve"> </w:t>
      </w:r>
      <w:r>
        <w:t xml:space="preserve">"low-rate threshold". Every methodological step is documented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An empirical replication of the</w:t>
      </w:r>
      <w:r>
        <w:t xml:space="preserve"> </w:t>
      </w:r>
      <w:r>
        <w:rPr>
          <w:bCs/>
          <w:b/>
        </w:rPr>
        <w:t xml:space="preserve">VZ AP5</w:t>
      </w:r>
      <w:r>
        <w:t xml:space="preserve"> </w:t>
      </w:r>
      <w:r>
        <w:t xml:space="preserve">mandate (VZ Säule 3a mit ETF,</w:t>
      </w:r>
      <w:r>
        <w:t xml:space="preserve"> </w:t>
      </w:r>
      <w:r>
        <w:rPr>
          <w:iCs/>
          <w:i/>
        </w:rPr>
        <w:t xml:space="preserve">Anlageprofil 5</w:t>
      </w:r>
      <w:r>
        <w:t xml:space="preserve">,</w:t>
      </w:r>
      <w:r>
        <w:t xml:space="preserve"> </w:t>
      </w:r>
      <w:r>
        <w:t xml:space="preserve">implemented as</w:t>
      </w:r>
      <w:r>
        <w:t xml:space="preserve"> </w:t>
      </w:r>
      <w:r>
        <w:rPr>
          <w:bCs/>
          <w:b/>
        </w:rPr>
        <w:t xml:space="preserve">VVIA</w:t>
      </w:r>
      <w:r>
        <w:t xml:space="preserve">) built from its</w:t>
      </w:r>
      <w:r>
        <w:t xml:space="preserve"> </w:t>
      </w:r>
      <w:r>
        <w:rPr>
          <w:bCs/>
          <w:b/>
        </w:rPr>
        <w:t xml:space="preserve">exact Bloomberg index constituents</w:t>
      </w:r>
      <w:r>
        <w:t xml:space="preserve"> </w:t>
      </w:r>
      <w:r>
        <w:t xml:space="preserve">(VZ</w:t>
      </w:r>
      <w:r>
        <w:t xml:space="preserve"> </w:t>
      </w:r>
      <w:r>
        <w:rPr>
          <w:iCs/>
          <w:i/>
        </w:rPr>
        <w:t xml:space="preserve">Kundendoku</w:t>
      </w:r>
      <w:r>
        <w:t xml:space="preserve"> </w:t>
      </w:r>
      <w:r>
        <w:t xml:space="preserve">slide 5), extended back to</w:t>
      </w:r>
      <w:r>
        <w:t xml:space="preserve"> </w:t>
      </w:r>
      <w:r>
        <w:rPr>
          <w:bCs/>
          <w:b/>
        </w:rPr>
        <w:t xml:space="preserve">January 2008</w:t>
      </w:r>
      <w:r>
        <w:t xml:space="preserve"> </w:t>
      </w:r>
      <w:r>
        <w:t xml:space="preserve">and run with</w:t>
      </w:r>
      <w:r>
        <w:t xml:space="preserve"> </w:t>
      </w:r>
      <w:r>
        <w:rPr>
          <w:bCs/>
          <w:b/>
        </w:rPr>
        <w:t xml:space="preserve">VZ Smart Rebalancing</w:t>
      </w:r>
      <w:r>
        <w:t xml:space="preserve">. The 42% bond</w:t>
      </w:r>
      <w:r>
        <w:t xml:space="preserve"> </w:t>
      </w:r>
      <w:r>
        <w:t xml:space="preserve">sleeve is then replaced — in</w:t>
      </w:r>
      <w:r>
        <w:t xml:space="preserve"> </w:t>
      </w:r>
      <w:r>
        <w:rPr>
          <w:bCs/>
          <w:b/>
        </w:rPr>
        <w:t xml:space="preserve">10% steps</w:t>
      </w:r>
      <w:r>
        <w:t xml:space="preserve"> </w:t>
      </w:r>
      <w:r>
        <w:t xml:space="preserve">— by a diversified basket of</w:t>
      </w:r>
      <w:r>
        <w:t xml:space="preserve"> </w:t>
      </w:r>
      <w:r>
        <w:rPr>
          <w:bCs/>
          <w:b/>
        </w:rPr>
        <w:t xml:space="preserve">investable</w:t>
      </w:r>
      <w:r>
        <w:rPr>
          <w:bCs/>
          <w:b/>
        </w:rPr>
        <w:t xml:space="preserve"> </w:t>
      </w:r>
      <w:r>
        <w:rPr>
          <w:bCs/>
          <w:b/>
        </w:rPr>
        <w:t xml:space="preserve">alternatives</w:t>
      </w:r>
      <w:r>
        <w:t xml:space="preserve">, measured</w:t>
      </w:r>
      <w:r>
        <w:t xml:space="preserve"> </w:t>
      </w:r>
      <w:r>
        <w:rPr>
          <w:bCs/>
          <w:b/>
        </w:rPr>
        <w:t xml:space="preserve">net of the agreed fee load</w:t>
      </w:r>
      <w:r>
        <w:t xml:space="preserve"> </w:t>
      </w:r>
      <w:r>
        <w:t xml:space="preserve">across the four SNB rate regimes.</w:t>
      </w:r>
    </w:p>
    <w:p>
      <w:pPr>
        <w:pStyle w:val="BodyText"/>
      </w:pPr>
      <w:r>
        <w:t xml:space="preserve">Reproducible end-to-end: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§10.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We reproduce the mandate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, not the asset-class level: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cash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bond sleeve to be replaced = 42%</w:t>
      </w:r>
      <w:r>
        <w:t xml:space="preserve">,</w:t>
      </w:r>
      <w:r>
        <w:t xml:space="preserve"> </w:t>
      </w:r>
      <w:r>
        <w:t xml:space="preserve">and it keeps its</w:t>
      </w:r>
      <w:r>
        <w:t xml:space="preserve"> </w:t>
      </w:r>
      <w:r>
        <w:rPr>
          <w:bCs/>
          <w:b/>
        </w:rPr>
        <w:t xml:space="preserve">broad/short-duration split</w:t>
      </w:r>
      <w:r>
        <w:t xml:space="preserve"> </w:t>
      </w:r>
      <w:r>
        <w:t xml:space="preserve">— the short (1-5) tranches are what limit the</w:t>
      </w:r>
      <w:r>
        <w:t xml:space="preserve"> </w:t>
      </w:r>
      <w:r>
        <w:t xml:space="preserve">damage when rates rise (§6). These strategic weights are applied unchanged back to 2008.</w:t>
      </w:r>
    </w:p>
    <w:bookmarkEnd w:id="21"/>
    <w:bookmarkStart w:id="22" w:name="X4c2bb2e7a6ca67ca141511722edded282cffe88"/>
    <w:p>
      <w:pPr>
        <w:pStyle w:val="Heading2"/>
      </w:pPr>
      <w:r>
        <w:t xml:space="preserve">3. Data &amp; method (summary; 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</w:t>
      </w:r>
      <w:r>
        <w:t xml:space="preserve"> </w:t>
      </w:r>
      <w:r>
        <w:rPr>
          <w:bCs/>
          <w:b/>
        </w:rPr>
        <w:t xml:space="preserve">real VZ AP5 NAV</w:t>
      </w:r>
      <w:r>
        <w:t xml:space="preserve"> </w:t>
      </w:r>
      <w:r>
        <w:t xml:space="preserve">(2019–2026, for validation); the VZ allocation-drift history — all provided by the analyst.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Currency</w:t>
      </w:r>
      <w:r>
        <w:t xml:space="preserve">: only bonds (and the credit-like replacements) are</w:t>
      </w:r>
      <w:r>
        <w:t xml:space="preserve"> </w:t>
      </w:r>
      <w:r>
        <w:rPr>
          <w:bCs/>
          <w:b/>
        </w:rPr>
        <w:t xml:space="preserve">CHF-hedged</w:t>
      </w:r>
      <w:r>
        <w:t xml:space="preserve">, per the VZ PM.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Cash</w:t>
      </w:r>
      <w:r>
        <w:t xml:space="preserve">: built from the SNB path, so it goes</w:t>
      </w:r>
      <w:r>
        <w:t xml:space="preserve"> </w:t>
      </w:r>
      <w:r>
        <w:rPr>
          <w:bCs/>
          <w:b/>
        </w:rPr>
        <w:t xml:space="preserve">negative</w:t>
      </w:r>
      <w:r>
        <w:t xml:space="preserve"> </w:t>
      </w:r>
      <w:r>
        <w:t xml:space="preserve">over 2015–2022.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Fees</w:t>
      </w:r>
      <w:r>
        <w:t xml:space="preserve">: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(0.12% product + 1.25% management) applied to every book.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Rebalancing</w:t>
      </w:r>
      <w:r>
        <w:t xml:space="preserve">: VZ Smart Rebalancing, ±20% relative bands, monthly, 10 bps cost.</w:t>
      </w:r>
    </w:p>
    <w:bookmarkEnd w:id="22"/>
    <w:bookmarkStart w:id="23" w:name="Xebd90aab6cff0072370d5b94cb023da18005f89"/>
    <w:p>
      <w:pPr>
        <w:pStyle w:val="Heading2"/>
      </w:pPr>
      <w:r>
        <w:t xml:space="preserve">4. Validation — the reconstruction is real</w:t>
      </w:r>
    </w:p>
    <w:p>
      <w:pPr>
        <w:pStyle w:val="FirstParagraph"/>
      </w:pPr>
      <w:r>
        <w:t xml:space="preserve">Reconstructed AP5 (indices → Smart Rebalancing → net of fees, using VZ's real allocation drift)</w:t>
      </w:r>
      <w:r>
        <w:t xml:space="preserve"> </w:t>
      </w:r>
      <w:r>
        <w:t xml:space="preserve">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Correlation of monthly returns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absolute monthly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return: reconstruction vs real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For a</w:t>
      </w:r>
      <w:r>
        <w:t xml:space="preserve"> </w:t>
      </w:r>
      <w:r>
        <w:rPr>
          <w:bCs/>
          <w:b/>
        </w:rPr>
        <w:t xml:space="preserve">proxy reconstruction</w:t>
      </w:r>
      <w:r>
        <w:t xml:space="preserve"> </w:t>
      </w:r>
      <w:r>
        <w:t xml:space="preserve">(public index series, not VZ's exact CHF-share-class ETFs), a</w:t>
      </w:r>
      <w:r>
        <w:t xml:space="preserve"> </w:t>
      </w:r>
      <w:r>
        <w:t xml:space="preserve">2–3%/yr tracking error is expected; a passive fund runs 0.1–0.5%, an active fund 2–6%. The</w:t>
      </w:r>
      <w:r>
        <w:t xml:space="preserve"> </w:t>
      </w:r>
      <w:r>
        <w:t xml:space="preserve">residual here is the foreign-equity leg (a USD price index + FX proxying 50% of the book) and</w:t>
      </w:r>
      <w:r>
        <w:t xml:space="preserve"> </w:t>
      </w:r>
      <w:r>
        <w:rPr>
          <w:bCs/>
          <w:b/>
        </w:rPr>
        <w:t xml:space="preserve">cancels exactly in every AP5-vs-replacement comparison</w:t>
      </w:r>
      <w:r>
        <w:t xml:space="preserve"> </w:t>
      </w:r>
      <w:r>
        <w:t xml:space="preserve">because the equity core is identical</w:t>
      </w:r>
      <w:r>
        <w:t xml:space="preserve"> </w:t>
      </w:r>
      <w:r>
        <w:t xml:space="preserve">across all books. Correlation 0.955 and the visual match through COVID and 2022 are what the</w:t>
      </w:r>
      <w:r>
        <w:t xml:space="preserve"> </w:t>
      </w:r>
      <w:r>
        <w:t xml:space="preserve">validation needs to license extending the machinery back to 2008.</w:t>
      </w:r>
    </w:p>
    <w:bookmarkEnd w:id="23"/>
    <w:bookmarkStart w:id="24" w:name="X4ecf9cf8837e476a69934de68cea8bf04c0f356"/>
    <w:p>
      <w:pPr>
        <w:pStyle w:val="Heading2"/>
      </w:pPr>
      <w:r>
        <w:t xml:space="preserve">5. The replacement candidates — included and excluded</w:t>
      </w:r>
    </w:p>
    <w:p>
      <w:pPr>
        <w:pStyle w:val="FirstParagraph"/>
      </w:pPr>
      <w:r>
        <w:rPr>
          <w:bCs/>
          <w:b/>
        </w:rPr>
        <w:t xml:space="preserve">Included</w:t>
      </w:r>
      <w:r>
        <w:t xml:space="preserve"> </w:t>
      </w:r>
      <w:r>
        <w:t xml:space="preserve">(investable, liquid, mark-to-market, ≤2009 history): gold, commodities,</w:t>
      </w:r>
      <w:r>
        <w:t xml:space="preserve"> </w:t>
      </w:r>
      <w:r>
        <w:t xml:space="preserve">infrastructure, convertibles, managed futures, high yield (hedged), EM debt (hedged). Naïve</w:t>
      </w:r>
      <w:r>
        <w:t xml:space="preserve"> </w:t>
      </w:r>
      <w:r>
        <w:t xml:space="preserve">basket = equal weight of the six with full 2008 history. Descriptive stats 2008–2026: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skew (crisis hedge)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lost money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equity-like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equity-linked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lost money</w:t>
            </w:r>
            <w:r>
              <w:t xml:space="preserve">, crisis-alpha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carry, fat 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carry, fat tails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 director's</w:t>
      </w:r>
      <w:r>
        <w:t xml:space="preserve"> </w:t>
      </w:r>
      <w:r>
        <w:rPr>
          <w:iCs/>
          <w:i/>
        </w:rPr>
        <w:t xml:space="preserve">investable / net-of-fee / liquid</w:t>
      </w:r>
      <w:r>
        <w:t xml:space="preserve"> </w:t>
      </w:r>
      <w:r>
        <w:t xml:space="preserve">bar):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ILS / cat bonds</w:t>
      </w:r>
      <w:r>
        <w:t xml:space="preserve"> </w:t>
      </w:r>
      <w:r>
        <w:t xml:space="preserve">— no clean public daily/monthly total-return history to 2008; semi-liquid.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Private equity / private credit</w:t>
      </w:r>
      <w:r>
        <w:t xml:space="preserve"> </w:t>
      </w:r>
      <w:r>
        <w:t xml:space="preserve">— unlisted, appraisal-</w:t>
      </w:r>
      <w:r>
        <w:rPr>
          <w:bCs/>
          <w:b/>
        </w:rPr>
        <w:t xml:space="preserve">smoothed</w:t>
      </w:r>
      <w:r>
        <w:t xml:space="preserve"> </w:t>
      </w:r>
      <w:r>
        <w:t xml:space="preserve">NAV, lock-ups; a listed</w:t>
      </w:r>
      <w:r>
        <w:t xml:space="preserve"> </w:t>
      </w:r>
      <w:r>
        <w:t xml:space="preserve">proxy shows equity risk, not the private return, and can't be rebalanced monthly.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Swiss mortgage funds</w:t>
      </w:r>
      <w:r>
        <w:t xml:space="preserve"> </w:t>
      </w:r>
      <w:r>
        <w:t xml:space="preserve">— institutional investment foundations: unlisted, appraisal-based NAV,</w:t>
      </w:r>
      <w:r>
        <w:t xml:space="preserve"> </w:t>
      </w:r>
      <w:r>
        <w:t xml:space="preserve">semi-annual liquidity;</w:t>
      </w:r>
      <w:r>
        <w:t xml:space="preserve"> </w:t>
      </w:r>
      <w:r>
        <w:rPr>
          <w:bCs/>
          <w:b/>
        </w:rPr>
        <w:t xml:space="preserve">no public series/benchmark found</w:t>
      </w:r>
      <w:r>
        <w:t xml:space="preserve"> </w:t>
      </w:r>
      <w:r>
        <w:t xml:space="preserve">(we searched). A natural CHF</w:t>
      </w:r>
      <w:r>
        <w:t xml:space="preserve"> </w:t>
      </w:r>
      <w:r>
        <w:t xml:space="preserve">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 can supply an institutional NAV series.</w:t>
      </w:r>
    </w:p>
    <w:bookmarkEnd w:id="24"/>
    <w:bookmarkStart w:id="25" w:name="Xd9fb40bbe78cd56eec9d9380e326e16f4fa6064"/>
    <w:p>
      <w:pPr>
        <w:pStyle w:val="Heading2"/>
      </w:pPr>
      <w:r>
        <w:t xml:space="preserve">6. The core problem, seen regime by regime — duration matters</w:t>
      </w:r>
    </w:p>
    <w:p>
      <w:pPr>
        <w:pStyle w:val="FirstParagraph"/>
      </w:pPr>
      <w:r>
        <w:t xml:space="preserve">Annualised return of each bond tranche in each SNB regime (fig. 05):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odyText"/>
      </w:pPr>
      <w:r>
        <w:t xml:space="preserve">Two readings the thesis needs: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Bonds delivered their premium only when rates fell (R1).</w:t>
      </w:r>
      <w:r>
        <w:t xml:space="preserve"> </w:t>
      </w:r>
      <w:r>
        <w:t xml:space="preserve">In the negative-rate era (R2)</w:t>
      </w:r>
      <w:r>
        <w:t xml:space="preserve"> </w:t>
      </w:r>
      <w:r>
        <w:t xml:space="preserve">the whole fixed-income + cash sleeve earned</w:t>
      </w:r>
      <w:r>
        <w:t xml:space="preserve"> </w:t>
      </w:r>
      <w:r>
        <w:rPr>
          <w:bCs/>
          <w:b/>
        </w:rPr>
        <w:t xml:space="preserve">≈ 0 or less</w:t>
      </w:r>
      <w:r>
        <w:t xml:space="preserve">; when rates</w:t>
      </w:r>
      <w:r>
        <w:t xml:space="preserve"> </w:t>
      </w:r>
      <w:r>
        <w:rPr>
          <w:iCs/>
          <w:i/>
        </w:rPr>
        <w:t xml:space="preserve">rose</w:t>
      </w:r>
      <w:r>
        <w:t xml:space="preserve"> </w:t>
      </w:r>
      <w:r>
        <w:t xml:space="preserve">(R3) broad</w:t>
      </w:r>
      <w:r>
        <w:t xml:space="preserve"> </w:t>
      </w:r>
      <w:r>
        <w:t xml:space="preserve">world bonds</w:t>
      </w:r>
      <w:r>
        <w:t xml:space="preserve"> </w:t>
      </w:r>
      <w:r>
        <w:rPr>
          <w:bCs/>
          <w:b/>
        </w:rPr>
        <w:t xml:space="preserve">lost 2%/yr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Duration is the transmission channel.</w:t>
      </w:r>
      <w:r>
        <w:t xml:space="preserve"> </w:t>
      </w:r>
      <w:r>
        <w:t xml:space="preserve">In the 2022–24 hikes, the</w:t>
      </w:r>
      <w:r>
        <w:t xml:space="preserve"> </w:t>
      </w:r>
      <w:r>
        <w:rPr>
          <w:bCs/>
          <w:b/>
        </w:rPr>
        <w:t xml:space="preserve">short (1-5)</w:t>
      </w:r>
      <w:r>
        <w:t xml:space="preserve"> </w:t>
      </w:r>
      <w:r>
        <w:t xml:space="preserve">world</w:t>
      </w:r>
      <w:r>
        <w:t xml:space="preserve"> </w:t>
      </w:r>
      <w:r>
        <w:t xml:space="preserve">tranche lost only −0.8% vs the broad −2.0% — VZ's own short-duration split already cushions</w:t>
      </w:r>
      <w:r>
        <w:t xml:space="preserve"> </w:t>
      </w:r>
      <w:r>
        <w:t xml:space="preserve">the rate shock. Swiss and world bonds are correlated (0.79) but</w:t>
      </w:r>
      <w:r>
        <w:t xml:space="preserve"> </w:t>
      </w:r>
      <w:r>
        <w:rPr>
          <w:bCs/>
          <w:b/>
        </w:rPr>
        <w:t xml:space="preserve">not redundant</w:t>
      </w:r>
      <w:r>
        <w:t xml:space="preserve"> </w:t>
      </w:r>
      <w:r>
        <w:t xml:space="preserve">(they</w:t>
      </w:r>
      <w:r>
        <w:t xml:space="preserve"> </w:t>
      </w:r>
      <w:r>
        <w:t xml:space="preserve">diverge sharply in R3), so the sleeve should keep both, broad and short.</w:t>
      </w:r>
    </w:p>
    <w:bookmarkEnd w:id="25"/>
    <w:bookmarkStart w:id="26" w:name="X78fa6579887e33eed2ef1eb81714ba055f5699b"/>
    <w:p>
      <w:pPr>
        <w:pStyle w:val="Heading2"/>
      </w:pPr>
      <w:r>
        <w:t xml:space="preserve">7. Does replacing bonds help? — regime by regime</w:t>
      </w:r>
    </w:p>
    <w:p>
      <w:pPr>
        <w:pStyle w:val="FirstParagraph"/>
      </w:pPr>
      <w:r>
        <w:t xml:space="preserve">Net-of-fee annualised return, AP5 vs replacement steps (fig. 04; full 0–100% grid in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(bonds strong)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  <w:r>
              <w:t xml:space="preserve"> </w:t>
            </w:r>
            <w:r>
              <w:rPr>
                <w:bCs/>
                <w:b/>
              </w:rPr>
              <w:t xml:space="preserve">costs</w:t>
            </w:r>
            <w:r>
              <w:t xml:space="preserve"> </w:t>
            </w:r>
            <w:r>
              <w:t xml:space="preserve">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(negative)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  <w:r>
              <w:t xml:space="preserve"> </w:t>
            </w:r>
            <w:r>
              <w:rPr>
                <w:bCs/>
                <w:b/>
              </w:rPr>
              <w:t xml:space="preserve">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(hikes)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roughly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(easing)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  <w:r>
              <w:t xml:space="preserve"> </w:t>
            </w:r>
            <w:r>
              <w:rPr>
                <w:bCs/>
                <w:b/>
              </w:rPr>
              <w:t xml:space="preserve">wins</w:t>
            </w:r>
          </w:p>
        </w:tc>
      </w:tr>
    </w:tbl>
    <w:p>
      <w:pPr>
        <w:pStyle w:val="BodyText"/>
      </w:pPr>
      <w:r>
        <w:t xml:space="preserve">Full period, net of fees (selected steps):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honest headline:</w:t>
      </w:r>
      <w:r>
        <w:t xml:space="preserve"> </w:t>
      </w:r>
      <w:r>
        <w:t xml:space="preserve">over the full 2008–2026 cycle, replacing bonds adds</w:t>
      </w:r>
      <w:r>
        <w:t xml:space="preserve"> </w:t>
      </w:r>
      <w:r>
        <w:rPr>
          <w:bCs/>
          <w:b/>
        </w:rPr>
        <w:t xml:space="preserve">return but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proportional risk</w:t>
      </w:r>
      <w:r>
        <w:t xml:space="preserve"> </w:t>
      </w:r>
      <w:r>
        <w:t xml:space="preserve">— Sharpe is essentially flat (it peaks only mildly, ~0.49 around a</w:t>
      </w:r>
      <w:r>
        <w:t xml:space="preserve"> </w:t>
      </w:r>
      <w:r>
        <w:rPr>
          <w:bCs/>
          <w:b/>
        </w:rPr>
        <w:t xml:space="preserve">20–40%</w:t>
      </w:r>
      <w:r>
        <w:t xml:space="preserve"> </w:t>
      </w:r>
      <w:r>
        <w:t xml:space="preserve">replacement, then fades) while drawdown worsens steadily to −27.7% at full replacement. There is</w:t>
      </w:r>
      <w:r>
        <w:t xml:space="preserve"> </w:t>
      </w:r>
      <w:r>
        <w:rPr>
          <w:bCs/>
          <w:b/>
        </w:rPr>
        <w:t xml:space="preserve">no free lunch across the whole sample</w:t>
      </w:r>
      <w:r>
        <w:t xml:space="preserve">; the value of replacement is</w:t>
      </w:r>
      <w:r>
        <w:t xml:space="preserve"> </w:t>
      </w:r>
      <w:r>
        <w:rPr>
          <w:bCs/>
          <w:b/>
        </w:rPr>
        <w:t xml:space="preserve">conditional on the</w:t>
      </w:r>
      <w:r>
        <w:rPr>
          <w:bCs/>
          <w:b/>
        </w:rPr>
        <w:t xml:space="preserve"> </w:t>
      </w:r>
      <w:r>
        <w:rPr>
          <w:bCs/>
          <w:b/>
        </w:rPr>
        <w:t xml:space="preserve">regime</w:t>
      </w:r>
      <w:r>
        <w:t xml:space="preserve"> </w:t>
      </w:r>
      <w:r>
        <w:t xml:space="preserve">— strongly positive in the negative-rate (R2) and easing (R4) regimes, neutral in</w:t>
      </w:r>
      <w:r>
        <w:t xml:space="preserve"> </w:t>
      </w:r>
      <w:r>
        <w:t xml:space="preserve">hikes (R3), negative only when bonds do their job (R1).</w:t>
      </w:r>
    </w:p>
    <w:bookmarkEnd w:id="26"/>
    <w:bookmarkStart w:id="27" w:name="X4ce253876f0a6094942619827995d400b754d13"/>
    <w:p>
      <w:pPr>
        <w:pStyle w:val="Heading2"/>
      </w:pPr>
      <w:r>
        <w:t xml:space="preserve">8. Basket construction matters — curated vs naïve (fig. 08)</w:t>
      </w:r>
    </w:p>
    <w:p>
      <w:pPr>
        <w:pStyle w:val="FirstParagraph"/>
      </w:pPr>
      <w:r>
        <w:t xml:space="preserve">The naïve basket carries the two money-losers (commodities, managed futures). 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that drops them and tilts to defensive carry + a gold hedge dominates it at every step: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(100% replaced)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Naïve basket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Curated</w:t>
            </w:r>
            <w:r>
              <w:t xml:space="preserve"> </w:t>
            </w:r>
            <w:r>
              <w:t xml:space="preserve">(HY 35 / EM 30 / gold 20 / infra 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−27.5%</w:t>
            </w:r>
          </w:p>
        </w:tc>
      </w:tr>
    </w:tbl>
    <w:p>
      <w:pPr>
        <w:pStyle w:val="BodyText"/>
      </w:pPr>
      <w:r>
        <w:t xml:space="preserve">The curated basket lifts Sharpe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the AP5 benchmark at every step, where the naïve one</w:t>
      </w:r>
      <w:r>
        <w:t xml:space="preserve"> </w:t>
      </w:r>
      <w:r>
        <w:t xml:space="preserve">did not — the replacement result is</w:t>
      </w:r>
      <w:r>
        <w:t xml:space="preserve"> </w:t>
      </w:r>
      <w:r>
        <w:rPr>
          <w:bCs/>
          <w:b/>
        </w:rPr>
        <w:t xml:space="preserve">as much about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alternatives as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how much</w:t>
      </w:r>
      <w:r>
        <w:rPr>
          <w:bCs/>
          <w:b/>
        </w:rPr>
        <w:t xml:space="preserve">.</w:t>
      </w:r>
    </w:p>
    <w:bookmarkEnd w:id="27"/>
    <w:bookmarkStart w:id="28" w:name="Xbddf55ea40be64226f84558918e5cd3b2a27aa5"/>
    <w:p>
      <w:pPr>
        <w:pStyle w:val="Heading2"/>
      </w:pPr>
      <w:r>
        <w:t xml:space="preserve">9. Recommendation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 replace the bond sleeve wholesale.</w:t>
      </w:r>
      <w:r>
        <w:t xml:space="preserve"> </w:t>
      </w:r>
      <w:r>
        <w:t xml:space="preserve">Full replacement buys ~0.9%/yr of return for</w:t>
      </w:r>
      <w:r>
        <w:t xml:space="preserve"> </w:t>
      </w:r>
      <w:r>
        <w:t xml:space="preserve">~7pp more drawdown and no Sharpe gain over the cycle.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partial replacement (≈ 20–40%) is the balanced choice</w:t>
      </w:r>
      <w:r>
        <w:t xml:space="preserve">: it sits at the mild Sharpe peak,</w:t>
      </w:r>
      <w:r>
        <w:t xml:space="preserve"> </w:t>
      </w:r>
      <w:r>
        <w:t xml:space="preserve">captures the regime upside (R2/R4), and keeps a bond core for flight-to-quality (R1).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— both Swiss and world, both broad and short-duration (the</w:t>
      </w:r>
      <w:r>
        <w:t xml:space="preserve"> </w:t>
      </w:r>
      <w:r>
        <w:t xml:space="preserve">short tranche is what absorbs rate shocks).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Curate the basket</w:t>
      </w:r>
      <w:r>
        <w:t xml:space="preserve"> </w:t>
      </w:r>
      <w:r>
        <w:t xml:space="preserve">— a defensive carry + hedge basket beats the naïve equal-weight one.</w:t>
      </w:r>
    </w:p>
    <w:bookmarkEnd w:id="28"/>
    <w:bookmarkStart w:id="29" w:name="Xbedd3294f9d2e8dce55c4c3cf13276f8343698c"/>
    <w:p>
      <w:pPr>
        <w:pStyle w:val="Heading2"/>
      </w:pPr>
      <w:r>
        <w:t xml:space="preserve">Appendix A. Optimisation (secondary / theoretical)</w:t>
      </w:r>
    </w:p>
    <w:p>
      <w:pPr>
        <w:pStyle w:val="FirstParagraph"/>
      </w:pPr>
      <w:r>
        <w:t xml:space="preserve">Kept out of the headline at the director's request. Optimising the 42% sleeve in-sample over</w:t>
      </w:r>
      <w:r>
        <w:t xml:space="preserve"> </w:t>
      </w:r>
      <w:r>
        <w:t xml:space="preserve">2008–2026 (core fixed, realistic caps;</w:t>
      </w:r>
      <w:r>
        <w:t xml:space="preserve"> </w:t>
      </w:r>
      <w:r>
        <w:rPr>
          <w:rStyle w:val="VerbatimChar"/>
        </w:rPr>
        <w:t xml:space="preserve">src/appendix_optimization.py</w:t>
      </w:r>
      <w:r>
        <w:t xml:space="preserve">), net of fees: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Optimised sleeve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Sleeve 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Min-variance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short world bonds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Min-CVaR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short world bonds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Swiss bonds + 12% gold (cap)</w:t>
            </w:r>
          </w:p>
        </w:tc>
      </w:tr>
    </w:tbl>
    <w:p>
      <w:pPr>
        <w:pStyle w:val="BodyText"/>
      </w:pPr>
      <w:r>
        <w:t xml:space="preserve">The message reinforces the main analysis: given full hindsight, the risk-minimisers put the</w:t>
      </w:r>
      <w:r>
        <w:t xml:space="preserve"> </w:t>
      </w:r>
      <w:r>
        <w:t xml:space="preserve">sleeve entirely into the</w:t>
      </w:r>
      <w:r>
        <w:t xml:space="preserve"> </w:t>
      </w:r>
      <w:r>
        <w:rPr>
          <w:bCs/>
          <w:b/>
        </w:rPr>
        <w:t xml:space="preserve">safest bond tranche</w:t>
      </w:r>
      <w:r>
        <w:t xml:space="preserve"> </w:t>
      </w:r>
      <w:r>
        <w:t xml:space="preserve">(short-duration world bonds), and the</w:t>
      </w:r>
      <w:r>
        <w:t xml:space="preserve"> </w:t>
      </w:r>
      <w:r>
        <w:t xml:space="preserve">return-maximiser keeps a large Swiss-bond position plus a capped gold hedge —</w:t>
      </w:r>
      <w:r>
        <w:t xml:space="preserve"> </w:t>
      </w:r>
      <w:r>
        <w:rPr>
          <w:bCs/>
          <w:b/>
        </w:rPr>
        <w:t xml:space="preserve">no optimiser</w:t>
      </w:r>
      <w:r>
        <w:rPr>
          <w:bCs/>
          <w:b/>
        </w:rPr>
        <w:t xml:space="preserve"> </w:t>
      </w:r>
      <w:r>
        <w:rPr>
          <w:bCs/>
          <w:b/>
        </w:rPr>
        <w:t xml:space="preserve">abandons bonds</w:t>
      </w:r>
      <w:r>
        <w:t xml:space="preserve">. These weights are in-sample and optimistic; a descriptive upper bound, not a</w:t>
      </w:r>
      <w:r>
        <w:t xml:space="preserve"> </w:t>
      </w:r>
      <w:r>
        <w:t xml:space="preserve">rule, which is why the analysis leads with the transparent step/curated books.</w:t>
      </w:r>
    </w:p>
    <w:bookmarkEnd w:id="29"/>
    <w:bookmarkStart w:id="30" w:name="X32b12bad6fc4d6c63a44a062147abb07a76d2a0"/>
    <w:p>
      <w:pPr>
        <w:pStyle w:val="Heading2"/>
      </w:pPr>
      <w:r>
        <w:t xml:space="preserve">10. Caveats</w:t>
      </w:r>
    </w:p>
    <w:p>
      <w:pPr>
        <w:pStyle w:val="FirstParagraph"/>
      </w:pPr>
      <w:r>
        <w:t xml:space="preserve">Investable ETF/fund proxies (not the exact VZ funds); monthly frequency understates intra-month</w:t>
      </w:r>
      <w:r>
        <w:t xml:space="preserve"> </w:t>
      </w:r>
      <w:r>
        <w:t xml:space="preserve">drawdowns; foreign equity is a USD price index converted to CHF TR (cancels in comparisons,</w:t>
      </w:r>
      <w:r>
        <w:t xml:space="preserve"> </w:t>
      </w:r>
      <w:r>
        <w:t xml:space="preserve">validated at 0.955 corr); convertibles start 2009 and the short world-bond index is spliced</w:t>
      </w:r>
      <w:r>
        <w:t xml:space="preserve"> </w:t>
      </w:r>
      <w:r>
        <w:t xml:space="preserve">pre-2010; commodity/CTA proxies carry real tracking error; single historical path.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Academic reproduction, not investment advice.</w:t>
      </w:r>
    </w:p>
    <w:p>
      <w:pPr>
        <w:pStyle w:val="BodyText"/>
      </w:pPr>
      <w:r>
        <w:t xml:space="preserve">\newpage</w:t>
      </w:r>
    </w:p>
    <w:bookmarkEnd w:id="30"/>
    <w:bookmarkStart w:id="5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Curated vs naïve replacement basket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2026-08-16T16:41:49Z</dcterms:created>
  <dcterms:modified xsi:type="dcterms:W3CDTF">2026-08-16T16:41:49Z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