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Résumé exécutif — Alternatives aux obligations (VZ AP5, 2008–2026)</w:t>
      </w:r>
    </w:p>
    <w:bookmarkStart w:id="43" w:name="Xf7c03c90c87964ab51c84259972892766293f4a"/>
    <w:p>
      <w:pPr>
        <w:pStyle w:val="Heading1"/>
      </w:pPr>
      <w:r>
        <w:t xml:space="preserve">Résumé exécutif — Alternatives aux obligations dans la construction de portefeuille</w:t>
      </w:r>
    </w:p>
    <w:p>
      <w:pPr>
        <w:pStyle w:val="FirstParagraph"/>
      </w:pPr>
      <w:r>
        <w:rPr>
          <w:bCs/>
          <w:b/>
        </w:rPr>
        <w:t xml:space="preserve">Mémoire de master, HEC Lausanne · Réplication du mandat VZ AP5 · CHF, mensuel, rendement</w:t>
      </w:r>
      <w:r>
        <w:rPr>
          <w:bCs/>
          <w:b/>
        </w:rPr>
        <w:t xml:space="preserve"> </w:t>
      </w:r>
      <w:r>
        <w:rPr>
          <w:bCs/>
          <w:b/>
        </w:rPr>
        <w:t xml:space="preserve">total net de frais · 2008–2026</w:t>
      </w:r>
    </w:p>
    <w:p>
      <w:r>
        <w:pict>
          <v:rect style="width:0;height:1.5pt" o:hralign="center" o:hrstd="t" o:hr="t"/>
        </w:pict>
      </w:r>
    </w:p>
    <w:bookmarkStart w:id="20" w:name="problématique-reformulée"/>
    <w:p>
      <w:pPr>
        <w:pStyle w:val="Heading2"/>
      </w:pPr>
      <w:r>
        <w:t xml:space="preserve">Problématique (reformulée)</w:t>
      </w:r>
    </w:p>
    <w:p>
      <w:pPr>
        <w:pStyle w:val="FirstParagraph"/>
      </w:pPr>
      <w:r>
        <w:t xml:space="preserve">Remplacer la</w:t>
      </w:r>
      <w:r>
        <w:t xml:space="preserve"> </w:t>
      </w:r>
      <w:r>
        <w:rPr>
          <w:bCs/>
          <w:b/>
        </w:rPr>
        <w:t xml:space="preserve">poche obligataire</w:t>
      </w:r>
      <w:r>
        <w:t xml:space="preserve"> </w:t>
      </w:r>
      <w:r>
        <w:t xml:space="preserve">du portefeuille VZ AP5 par des actifs alternatifs</w:t>
      </w:r>
      <w:r>
        <w:t xml:space="preserve"> </w:t>
      </w:r>
      <w:r>
        <w:rPr>
          <w:bCs/>
          <w:b/>
        </w:rPr>
        <w:t xml:space="preserve">sur</w:t>
      </w:r>
      <w:r>
        <w:rPr>
          <w:bCs/>
          <w:b/>
        </w:rPr>
        <w:t xml:space="preserve"> </w:t>
      </w:r>
      <w:r>
        <w:rPr>
          <w:bCs/>
          <w:b/>
        </w:rPr>
        <w:t xml:space="preserve">l'ensemble de la période</w:t>
      </w:r>
      <w:r>
        <w:t xml:space="preserve">, puis analyser le résultat</w:t>
      </w:r>
      <w:r>
        <w:t xml:space="preserve"> </w:t>
      </w:r>
      <w:r>
        <w:rPr>
          <w:bCs/>
          <w:b/>
        </w:rPr>
        <w:t xml:space="preserve">régime par régime</w:t>
      </w:r>
      <w:r>
        <w:t xml:space="preserve">. Le problème</w:t>
      </w:r>
      <w:r>
        <w:t xml:space="preserve"> </w:t>
      </w:r>
      <w:r>
        <w:t xml:space="preserve">n'est pas seulement les taux bas : lorsque les taux</w:t>
      </w:r>
      <w:r>
        <w:t xml:space="preserve"> </w:t>
      </w:r>
      <w:r>
        <w:rPr>
          <w:iCs/>
          <w:i/>
        </w:rPr>
        <w:t xml:space="preserve">montent</w:t>
      </w:r>
      <w:r>
        <w:t xml:space="preserve">, les obligations perdent</w:t>
      </w:r>
      <w:r>
        <w:t xml:space="preserve"> </w:t>
      </w:r>
      <w:r>
        <w:t xml:space="preserve">aussi. Lire l'analyse par régime de la BNS supprime le besoin d'un seuil « taux bas »</w:t>
      </w:r>
      <w:r>
        <w:t xml:space="preserve"> </w:t>
      </w:r>
      <w:r>
        <w:t xml:space="preserve">contesté.</w:t>
      </w:r>
    </w:p>
    <w:bookmarkEnd w:id="20"/>
    <w:bookmarkStart w:id="21" w:name="X8d8ceac31ad488ae8548f4ef44381882819bab3"/>
    <w:p>
      <w:pPr>
        <w:pStyle w:val="Heading2"/>
      </w:pPr>
      <w:r>
        <w:t xml:space="preserve">Données (réelles, pas de proxys synthétiques du cœur)</w:t>
      </w:r>
    </w:p>
    <w:p>
      <w:pPr>
        <w:pStyle w:val="FirstParagraph"/>
      </w:pPr>
      <w:r>
        <w:t xml:space="preserve">Indices</w:t>
      </w:r>
      <w:r>
        <w:t xml:space="preserve"> </w:t>
      </w:r>
      <w:r>
        <w:rPr>
          <w:bCs/>
          <w:b/>
        </w:rPr>
        <w:t xml:space="preserve">Bloomberg</w:t>
      </w:r>
      <w:r>
        <w:t xml:space="preserve"> </w:t>
      </w:r>
      <w:r>
        <w:t xml:space="preserve">des composantes</w:t>
      </w:r>
      <w:r>
        <w:t xml:space="preserve"> </w:t>
      </w:r>
      <w:r>
        <w:rPr>
          <w:bCs/>
          <w:b/>
        </w:rPr>
        <w:t xml:space="preserve">exactes</w:t>
      </w:r>
      <w:r>
        <w:t xml:space="preserve"> </w:t>
      </w:r>
      <w:r>
        <w:t xml:space="preserve">du mandat AP5 (VZ Kundendoku, planche 5) :</w:t>
      </w:r>
      <w:r>
        <w:t xml:space="preserve"> </w:t>
      </w:r>
      <w:r>
        <w:t xml:space="preserve">actions suisses</w:t>
      </w:r>
      <w:r>
        <w:t xml:space="preserve"> </w:t>
      </w:r>
      <w:r>
        <w:rPr>
          <w:bCs/>
          <w:b/>
        </w:rPr>
        <w:t xml:space="preserve">SPI 11 / SLI 12 / SPI Extra 2</w:t>
      </w:r>
      <w:r>
        <w:t xml:space="preserve">, actions monde</w:t>
      </w:r>
      <w:r>
        <w:t xml:space="preserve"> </w:t>
      </w:r>
      <w:r>
        <w:rPr>
          <w:bCs/>
          <w:b/>
        </w:rPr>
        <w:t xml:space="preserve">MSCI World 19 / Small 3 /</w:t>
      </w:r>
      <w:r>
        <w:rPr>
          <w:bCs/>
          <w:b/>
        </w:rPr>
        <w:t xml:space="preserve"> </w:t>
      </w:r>
      <w:r>
        <w:rPr>
          <w:bCs/>
          <w:b/>
        </w:rPr>
        <w:t xml:space="preserve">EM 3</w:t>
      </w:r>
      <w:r>
        <w:t xml:space="preserve">, obligations suisses</w:t>
      </w:r>
      <w:r>
        <w:t xml:space="preserve"> </w:t>
      </w:r>
      <w:r>
        <w:rPr>
          <w:bCs/>
          <w:b/>
        </w:rPr>
        <w:t xml:space="preserve">SBI AAA-BBB 10,8 / 1-5 6</w:t>
      </w:r>
      <w:r>
        <w:t xml:space="preserve">, obligations monde</w:t>
      </w:r>
      <w:r>
        <w:t xml:space="preserve"> </w:t>
      </w:r>
      <w:r>
        <w:rPr>
          <w:bCs/>
          <w:b/>
        </w:rPr>
        <w:t xml:space="preserve">Global Aggregate</w:t>
      </w:r>
      <w:r>
        <w:rPr>
          <w:bCs/>
          <w:b/>
        </w:rPr>
        <w:t xml:space="preserve"> </w:t>
      </w:r>
      <w:r>
        <w:rPr>
          <w:bCs/>
          <w:b/>
        </w:rPr>
        <w:t xml:space="preserve">couvert CHF 16,8 / 1-5 8,4</w:t>
      </w:r>
      <w:r>
        <w:t xml:space="preserve">, immobilier SXI 5, liquidités 3. Taux</w:t>
      </w:r>
      <w:r>
        <w:t xml:space="preserve"> </w:t>
      </w:r>
      <w:r>
        <w:rPr>
          <w:bCs/>
          <w:b/>
        </w:rPr>
        <w:t xml:space="preserve">BNS + Fed</w:t>
      </w:r>
      <w:r>
        <w:t xml:space="preserve"> </w:t>
      </w:r>
      <w:r>
        <w:t xml:space="preserve">mensuels et la</w:t>
      </w:r>
      <w:r>
        <w:t xml:space="preserve"> </w:t>
      </w:r>
      <w:r>
        <w:rPr>
          <w:bCs/>
          <w:b/>
        </w:rPr>
        <w:t xml:space="preserve">VNI réelle du produit VZ VVIA</w:t>
      </w:r>
      <w:r>
        <w:t xml:space="preserve">. Frais :</w:t>
      </w:r>
      <w:r>
        <w:t xml:space="preserve"> </w:t>
      </w:r>
      <w:r>
        <w:rPr>
          <w:bCs/>
          <w:b/>
        </w:rPr>
        <w:t xml:space="preserve">0,12 % (produit) + 1,25 % (gestion) = 1,37 %/an</w:t>
      </w:r>
      <w:r>
        <w:t xml:space="preserve">.</w:t>
      </w:r>
      <w:r>
        <w:t xml:space="preserve"> </w:t>
      </w:r>
      <w:r>
        <w:rPr>
          <w:bCs/>
          <w:b/>
        </w:rPr>
        <w:t xml:space="preserve">Poche obligataire = 42 %</w:t>
      </w:r>
      <w:r>
        <w:t xml:space="preserve"> </w:t>
      </w:r>
      <w:r>
        <w:t xml:space="preserve">(suisses 16,8 % + mondiales 25,2 %), conservant sa structure</w:t>
      </w:r>
      <w:r>
        <w:t xml:space="preserve"> </w:t>
      </w:r>
      <w:r>
        <w:t xml:space="preserve">duration longue / courte (1-5).</w:t>
      </w:r>
    </w:p>
    <w:bookmarkEnd w:id="21"/>
    <w:bookmarkStart w:id="22" w:name="validation--la-réplication-est-fiable"/>
    <w:p>
      <w:pPr>
        <w:pStyle w:val="Heading2"/>
      </w:pPr>
      <w:r>
        <w:t xml:space="preserve">Validation — la réplication est fiable</w:t>
      </w:r>
    </w:p>
    <w:p>
      <w:pPr>
        <w:pStyle w:val="FirstParagraph"/>
      </w:pPr>
      <w:r>
        <w:t xml:space="preserve">Reconstitution de l'AP5 (indices → Smart Rebalancing → net de frais, dérive d'allocation réelle</w:t>
      </w:r>
      <w:r>
        <w:t xml:space="preserve"> </w:t>
      </w:r>
      <w:r>
        <w:t xml:space="preserve">de VZ) contre la</w:t>
      </w:r>
      <w:r>
        <w:t xml:space="preserve"> </w:t>
      </w:r>
      <w:r>
        <w:rPr>
          <w:bCs/>
          <w:b/>
        </w:rPr>
        <w:t xml:space="preserve">VNI réelle du produit VZ</w:t>
      </w:r>
      <w:r>
        <w:t xml:space="preserve">, 2019–2026 :</w:t>
      </w:r>
      <w:r>
        <w:t xml:space="preserve"> </w:t>
      </w:r>
      <w:r>
        <w:rPr>
          <w:bCs/>
          <w:b/>
        </w:rPr>
        <w:t xml:space="preserve">corrélation 0,955</w:t>
      </w:r>
      <w:r>
        <w:t xml:space="preserve">,</w:t>
      </w:r>
      <w:r>
        <w:t xml:space="preserve"> </w:t>
      </w:r>
      <w:r>
        <w:rPr>
          <w:bCs/>
          <w:b/>
        </w:rPr>
        <w:t xml:space="preserve">tracking</w:t>
      </w:r>
      <w:r>
        <w:rPr>
          <w:bCs/>
          <w:b/>
        </w:rPr>
        <w:t xml:space="preserve"> </w:t>
      </w:r>
      <w:r>
        <w:rPr>
          <w:bCs/>
          <w:b/>
        </w:rPr>
        <w:t xml:space="preserve">error 2,35 %/an</w:t>
      </w:r>
      <w:r>
        <w:t xml:space="preserve">, suivi visuel fidèle à travers le COVID, la chute de 2022 et la reprise. La</w:t>
      </w:r>
      <w:r>
        <w:t xml:space="preserve"> </w:t>
      </w:r>
      <w:r>
        <w:t xml:space="preserve">TE résiduelle provient du volet actions étrangères (indice de prix USD converti en CHF) —</w:t>
      </w:r>
      <w:r>
        <w:t xml:space="preserve"> </w:t>
      </w:r>
      <w:r>
        <w:rPr>
          <w:bCs/>
          <w:b/>
        </w:rPr>
        <w:t xml:space="preserve">elle s'annule dans toutes les comparaisons AP5-vs-remplacement</w:t>
      </w:r>
      <w:r>
        <w:t xml:space="preserve">, le cœur identique partout.</w:t>
      </w:r>
    </w:p>
    <w:bookmarkEnd w:id="22"/>
    <w:bookmarkStart w:id="23" w:name="X1e47f7720494ee2ad9380c7f83dc54fd6e117d5"/>
    <w:p>
      <w:pPr>
        <w:pStyle w:val="Heading2"/>
      </w:pPr>
      <w:r>
        <w:t xml:space="preserve">Le problème obligataire, par régime — la duration compte (fig. 05)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Régime BNS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CH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CH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monde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monde 1-5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2008–14</w:t>
            </w:r>
            <w:r>
              <w:t xml:space="preserve"> </w:t>
            </w:r>
            <w:r>
              <w:t xml:space="preserve">— taux bas positifs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+2,5 %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2015–22</w:t>
            </w:r>
            <w:r>
              <w:t xml:space="preserve"> </w:t>
            </w:r>
            <w:r>
              <w:t xml:space="preserve">— taux négatifs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2022–24</w:t>
            </w:r>
            <w:r>
              <w:t xml:space="preserve"> </w:t>
            </w:r>
            <w:r>
              <w:t xml:space="preserve">— hausses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+1,5 %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−2,0 %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2024–26</w:t>
            </w:r>
            <w:r>
              <w:t xml:space="preserve"> </w:t>
            </w:r>
            <w:r>
              <w:t xml:space="preserve">— assouplissement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+0,5 %</w:t>
            </w:r>
          </w:p>
        </w:tc>
      </w:tr>
    </w:tbl>
    <w:p>
      <w:pPr>
        <w:pStyle w:val="BodyText"/>
      </w:pPr>
      <w:r>
        <w:t xml:space="preserve">Les obligations n'ont joué leur rôle défensif</w:t>
      </w:r>
      <w:r>
        <w:t xml:space="preserve"> </w:t>
      </w:r>
      <w:r>
        <w:rPr>
          <w:bCs/>
          <w:b/>
        </w:rPr>
        <w:t xml:space="preserve">que lorsque les taux baissaient (R1)</w:t>
      </w:r>
      <w:r>
        <w:t xml:space="preserve">. En</w:t>
      </w:r>
      <w:r>
        <w:t xml:space="preserve"> </w:t>
      </w:r>
      <w:r>
        <w:t xml:space="preserve">régime négatif (R2) la poche a rapporté ≈ 0 ; lorsque les taux</w:t>
      </w:r>
      <w:r>
        <w:t xml:space="preserve"> </w:t>
      </w:r>
      <w:r>
        <w:rPr>
          <w:bCs/>
          <w:b/>
        </w:rPr>
        <w:t xml:space="preserve">montent (R3)</w:t>
      </w:r>
      <w:r>
        <w:t xml:space="preserve">, les obligations</w:t>
      </w:r>
      <w:r>
        <w:t xml:space="preserve"> </w:t>
      </w:r>
      <w:r>
        <w:t xml:space="preserve">mondiales larges perdent</w:t>
      </w:r>
      <w:r>
        <w:t xml:space="preserve"> </w:t>
      </w:r>
      <w:r>
        <w:rPr>
          <w:bCs/>
          <w:b/>
        </w:rPr>
        <w:t xml:space="preserve">2 %/an</w:t>
      </w:r>
      <w:r>
        <w:t xml:space="preserve"> </w:t>
      </w:r>
      <w:r>
        <w:t xml:space="preserve">— mais la tranche</w:t>
      </w:r>
      <w:r>
        <w:t xml:space="preserve"> </w:t>
      </w:r>
      <w:r>
        <w:rPr>
          <w:bCs/>
          <w:b/>
        </w:rPr>
        <w:t xml:space="preserve">courte (1-5) ne perd que −0,8 %</w:t>
      </w:r>
      <w:r>
        <w:t xml:space="preserve"> </w:t>
      </w:r>
      <w:r>
        <w:t xml:space="preserve">: la</w:t>
      </w:r>
      <w:r>
        <w:t xml:space="preserve"> </w:t>
      </w:r>
      <w:r>
        <w:t xml:space="preserve">duration est le canal. Suisses/mondiales corrélées (</w:t>
      </w:r>
      <w:r>
        <w:rPr>
          <w:bCs/>
          <w:b/>
        </w:rPr>
        <w:t xml:space="preserve">0,79</w:t>
      </w:r>
      <w:r>
        <w:t xml:space="preserve">) mais</w:t>
      </w:r>
      <w:r>
        <w:t xml:space="preserve"> </w:t>
      </w:r>
      <w:r>
        <w:rPr>
          <w:bCs/>
          <w:b/>
        </w:rPr>
        <w:t xml:space="preserve">non redondantes</w:t>
      </w:r>
      <w:r>
        <w:t xml:space="preserve">.</w:t>
      </w:r>
    </w:p>
    <w:bookmarkEnd w:id="23"/>
    <w:bookmarkStart w:id="24" w:name="X969100235d50e2a4b570895ec47c91a4c79d0ce"/>
    <w:p>
      <w:pPr>
        <w:pStyle w:val="Heading2"/>
      </w:pPr>
      <w:r>
        <w:t xml:space="preserve">Le remplacement est-il payant ? — par régime (rendement annualisé net)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2008–14 (oblig. fortes)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coûte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2015–22 (négatif)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gagne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2022–24 (hausses)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neutre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2024–26 (assoupl.)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gagne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Sur le cycle complet, pas de repas gratuit</w:t>
      </w:r>
      <w:r>
        <w:t xml:space="preserve"> </w:t>
      </w:r>
      <w:r>
        <w:t xml:space="preserve">: le remplacement intégral fait passer le</w:t>
      </w:r>
      <w:r>
        <w:t xml:space="preserve"> </w:t>
      </w:r>
      <w:r>
        <w:t xml:space="preserve">rendement de 3,43 % à 4,30 %/an mais le drawdown de −21 % à −28 %, avec un</w:t>
      </w:r>
      <w:r>
        <w:t xml:space="preserve"> </w:t>
      </w:r>
      <w:r>
        <w:rPr>
          <w:bCs/>
          <w:b/>
        </w:rPr>
        <w:t xml:space="preserve">ratio de Sharpe</w:t>
      </w:r>
      <w:r>
        <w:rPr>
          <w:bCs/>
          <w:b/>
        </w:rPr>
        <w:t xml:space="preserve"> </w:t>
      </w:r>
      <w:r>
        <w:rPr>
          <w:bCs/>
          <w:b/>
        </w:rPr>
        <w:t xml:space="preserve">quasi inchangé</w:t>
      </w:r>
      <w:r>
        <w:t xml:space="preserve"> </w:t>
      </w:r>
      <w:r>
        <w:t xml:space="preserve">(pic léger ~0,49 vers 20–40 %). La valeur du remplacement est</w:t>
      </w:r>
      <w:r>
        <w:t xml:space="preserve"> </w:t>
      </w:r>
      <w:r>
        <w:rPr>
          <w:bCs/>
          <w:b/>
        </w:rPr>
        <w:t xml:space="preserve">conditionnelle</w:t>
      </w:r>
      <w:r>
        <w:rPr>
          <w:bCs/>
          <w:b/>
        </w:rPr>
        <w:t xml:space="preserve"> </w:t>
      </w:r>
      <w:r>
        <w:rPr>
          <w:bCs/>
          <w:b/>
        </w:rPr>
        <w:t xml:space="preserve">au régime</w:t>
      </w:r>
      <w:r>
        <w:t xml:space="preserve">.</w:t>
      </w:r>
    </w:p>
    <w:bookmarkEnd w:id="24"/>
    <w:bookmarkStart w:id="25" w:name="recommandation"/>
    <w:p>
      <w:pPr>
        <w:pStyle w:val="Heading2"/>
      </w:pPr>
      <w:r>
        <w:t xml:space="preserve">Recommandation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 pas remplacer intégralement.</w:t>
      </w:r>
      <w:r>
        <w:t xml:space="preserve"> </w:t>
      </w:r>
      <w:r>
        <w:t xml:space="preserve">Un remplacement</w:t>
      </w:r>
      <w:r>
        <w:t xml:space="preserve"> </w:t>
      </w:r>
      <w:r>
        <w:rPr>
          <w:bCs/>
          <w:b/>
        </w:rPr>
        <w:t xml:space="preserve">partiel (≈ 20–40 %)</w:t>
      </w:r>
      <w:r>
        <w:t xml:space="preserve"> </w:t>
      </w:r>
      <w:r>
        <w:t xml:space="preserve">se situe au pic</w:t>
      </w:r>
      <w:r>
        <w:t xml:space="preserve"> </w:t>
      </w:r>
      <w:r>
        <w:t xml:space="preserve">de Sharpe, capte le gain de régime (R2/R4) et conserve un cœur obligataire pour les fuites</w:t>
      </w:r>
      <w:r>
        <w:t xml:space="preserve"> </w:t>
      </w:r>
      <w:r>
        <w:t xml:space="preserve">vers la qualité (chocs de type R1).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 choix des instruments compte autant que le montant.</w:t>
      </w:r>
      <w:r>
        <w:t xml:space="preserve"> </w:t>
      </w:r>
      <w:r>
        <w:t xml:space="preserve">Un panier</w:t>
      </w:r>
      <w:r>
        <w:t xml:space="preserve"> </w:t>
      </w:r>
      <w:r>
        <w:rPr>
          <w:bCs/>
          <w:b/>
        </w:rPr>
        <w:t xml:space="preserve">curated</w:t>
      </w:r>
      <w:r>
        <w:t xml:space="preserve"> </w:t>
      </w:r>
      <w:r>
        <w:t xml:space="preserve">(haut</w:t>
      </w:r>
      <w:r>
        <w:t xml:space="preserve"> </w:t>
      </w:r>
      <w:r>
        <w:t xml:space="preserve">rendement 35 / dette émergente 30 / or 20 / infrastructure 15, écartant les deux</w:t>
      </w:r>
      <w:r>
        <w:t xml:space="preserve"> </w:t>
      </w:r>
      <w:r>
        <w:t xml:space="preserve">perdants — matières premières et managed futures)</w:t>
      </w:r>
      <w:r>
        <w:t xml:space="preserve"> </w:t>
      </w:r>
      <w:r>
        <w:rPr>
          <w:bCs/>
          <w:b/>
        </w:rPr>
        <w:t xml:space="preserve">domine</w:t>
      </w:r>
      <w:r>
        <w:t xml:space="preserve"> </w:t>
      </w:r>
      <w:r>
        <w:t xml:space="preserve">le panier naïf : Sharpe</w:t>
      </w:r>
      <w:r>
        <w:t xml:space="preserve"> </w:t>
      </w:r>
      <w:r>
        <w:rPr>
          <w:bCs/>
          <w:b/>
        </w:rPr>
        <w:t xml:space="preserve">0,53 vs 0,47</w:t>
      </w:r>
      <w:r>
        <w:t xml:space="preserve"> </w:t>
      </w:r>
      <w:r>
        <w:t xml:space="preserve">à 100 % de remplacement,</w:t>
      </w:r>
      <w:r>
        <w:t xml:space="preserve"> </w:t>
      </w:r>
      <w:r>
        <w:rPr>
          <w:bCs/>
          <w:b/>
        </w:rPr>
        <w:t xml:space="preserve">au-dessus de l'AP5 (0,47)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Conserver la structure obligataire</w:t>
      </w:r>
      <w:r>
        <w:t xml:space="preserve"> </w:t>
      </w:r>
      <w:r>
        <w:t xml:space="preserve">(suisses + mondiales, larges + courtes 1-5).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Écartés (avec justification)</w:t>
      </w:r>
      <w:r>
        <w:t xml:space="preserve"> </w:t>
      </w:r>
      <w:r>
        <w:t xml:space="preserve">: ILS, private equity/credit et fonds hypothécaires suisses</w:t>
      </w:r>
      <w:r>
        <w:t xml:space="preserve"> </w:t>
      </w:r>
      <w:r>
        <w:t xml:space="preserve">— aucun ne satisfait le critère</w:t>
      </w:r>
      <w:r>
        <w:t xml:space="preserve"> </w:t>
      </w:r>
      <w:r>
        <w:rPr>
          <w:iCs/>
          <w:i/>
        </w:rPr>
        <w:t xml:space="preserve">investissable / liquide / net de frais</w:t>
      </w:r>
      <w:r>
        <w:t xml:space="preserve"> </w:t>
      </w:r>
      <w:r>
        <w:t xml:space="preserve">(pas de série</w:t>
      </w:r>
      <w:r>
        <w:t xml:space="preserve"> </w:t>
      </w:r>
      <w:r>
        <w:t xml:space="preserve">publique valorisée au marché).</w:t>
      </w:r>
    </w:p>
    <w:bookmarkEnd w:id="25"/>
    <w:bookmarkStart w:id="26" w:name="note-dhonnêteté--annexe"/>
    <w:p>
      <w:pPr>
        <w:pStyle w:val="Heading2"/>
      </w:pPr>
      <w:r>
        <w:t xml:space="preserve">Note d'honnêteté &amp; annexe</w:t>
      </w:r>
    </w:p>
    <w:p>
      <w:pPr>
        <w:pStyle w:val="FirstParagraph"/>
      </w:pPr>
      <w:r>
        <w:t xml:space="preserve">Matières premières (−1,6 %/an) et managed futures (−0,7 %/an) ont</w:t>
      </w:r>
      <w:r>
        <w:t xml:space="preserve"> </w:t>
      </w:r>
      <w:r>
        <w:rPr>
          <w:bCs/>
          <w:b/>
        </w:rPr>
        <w:t xml:space="preserve">perdu de l'argent</w:t>
      </w:r>
      <w:r>
        <w:t xml:space="preserve"> </w:t>
      </w:r>
      <w:r>
        <w:t xml:space="preserve">sur</w:t>
      </w:r>
      <w:r>
        <w:t xml:space="preserve"> </w:t>
      </w:r>
      <w:r>
        <w:t xml:space="preserve">2008–2026 ; le panier naïf les porte à poids égal — rien n'est trié sur le volet. L'optimisation</w:t>
      </w:r>
      <w:r>
        <w:t xml:space="preserve"> </w:t>
      </w:r>
      <w:r>
        <w:t xml:space="preserve">est reléguée en</w:t>
      </w:r>
      <w:r>
        <w:t xml:space="preserve"> </w:t>
      </w:r>
      <w:r>
        <w:rPr>
          <w:bCs/>
          <w:b/>
        </w:rPr>
        <w:t xml:space="preserve">annexe</w:t>
      </w:r>
      <w:r>
        <w:t xml:space="preserve"> </w:t>
      </w:r>
      <w:r>
        <w:t xml:space="preserve">(jugée trop théorique) : même optimisée en échantillon, la poche</w:t>
      </w:r>
      <w:r>
        <w:t xml:space="preserve"> </w:t>
      </w:r>
      <w:r>
        <w:t xml:space="preserve">minimum-variance/CVaR se met</w:t>
      </w:r>
      <w:r>
        <w:t xml:space="preserve"> </w:t>
      </w:r>
      <w:r>
        <w:rPr>
          <w:bCs/>
          <w:b/>
        </w:rPr>
        <w:t xml:space="preserve">100 % en obligations mondiales courtes (1-5)</w:t>
      </w:r>
      <w:r>
        <w:t xml:space="preserve"> </w:t>
      </w:r>
      <w:r>
        <w:t xml:space="preserve">et la poche</w:t>
      </w:r>
      <w:r>
        <w:t xml:space="preserve"> </w:t>
      </w:r>
      <w:r>
        <w:t xml:space="preserve">max-Sharpe conserve des obligations suisses + une allocation en or plafonnée —</w:t>
      </w:r>
      <w:r>
        <w:t xml:space="preserve"> </w:t>
      </w:r>
      <w:r>
        <w:rPr>
          <w:bCs/>
          <w:b/>
        </w:rPr>
        <w:t xml:space="preserve">aucun</w:t>
      </w:r>
      <w:r>
        <w:rPr>
          <w:bCs/>
          <w:b/>
        </w:rPr>
        <w:t xml:space="preserve"> </w:t>
      </w:r>
      <w:r>
        <w:rPr>
          <w:bCs/>
          <w:b/>
        </w:rPr>
        <w:t xml:space="preserve">optimiseur n'abandonne les obligations</w:t>
      </w:r>
      <w:r>
        <w:t xml:space="preserve">. Proxys ETF/fonds investissables (non les fonds VZ exacts) ; fréquence</w:t>
      </w:r>
      <w:r>
        <w:t xml:space="preserve"> </w:t>
      </w:r>
      <w:r>
        <w:t xml:space="preserve">mensuelle ; un seul chemin historique. Reproduction académique, pas un conseil en placement.</w:t>
      </w:r>
    </w:p>
    <w:p>
      <w:pPr>
        <w:pStyle w:val="BodyText"/>
      </w:pPr>
      <w:r>
        <w:t xml:space="preserve">\newpage</w:t>
      </w:r>
    </w:p>
    <w:bookmarkEnd w:id="26"/>
    <w:bookmarkStart w:id="42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rPr>
          <w:bCs/>
          <w:b/>
        </w:rPr>
        <w:t xml:space="preserve">Figure 1 — Rendement total cumulé en CHF, net de frais (2008–2026).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1_rendement_cumul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Validation : AP5 reconstitué vs performance réelle VZ.</w:t>
      </w:r>
    </w:p>
    <w:p>
      <w:pPr>
        <w:pStyle w:val="BodyText"/>
      </w:pPr>
      <w:r>
        <w:drawing>
          <wp:inline>
            <wp:extent cx="5334000" cy="28447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2_validati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Rendement annualisé par régime de taux (BNS).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4_rendement_par_regim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Comportement de la poche obligataire par régime.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5_obligations_par_regim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Panier curated vs naïf (100 % remplacé).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8_curated_vs_naif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Résumé exécutif — Alternatives aux obligations (VZ AP5, 2008–2026)</dc:title>
  <dc:creator/>
  <cp:keywords/>
  <dcterms:created xsi:type="dcterms:W3CDTF">2026-08-16T16:41:49Z</dcterms:created>
  <dcterms:modified xsi:type="dcterms:W3CDTF">2026-08-16T16:41:49Z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