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9fd6e3ec88a1adefb0c171cff299bcf7ae96119"/>
    <w:p>
      <w:pPr>
        <w:pStyle w:val="Heading1"/>
      </w:pPr>
      <w:r>
        <w:t xml:space="preserve">Alternatives to bonds in a low-rate environment — empirical foundation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</w:t>
      </w:r>
      <w:r>
        <w:t xml:space="preserve"> </w:t>
      </w:r>
      <w:r>
        <w:t xml:space="preserve">— Full replacement raises portfolio</w:t>
      </w:r>
      <w:r>
        <w:t xml:space="preserve"> </w:t>
      </w:r>
      <w:r>
        <w:rPr>
          <w:bCs/>
          <w:b/>
        </w:rPr>
        <w:t xml:space="preserve">downside risk</w:t>
      </w:r>
      <w:r>
        <w:t xml:space="preserve"> </w:t>
      </w:r>
      <w:r>
        <w:t xml:space="preserve">(drawdown/CVaR) 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below):</w:t>
      </w:r>
      <w:r>
        <w:t xml:space="preserve"> </w:t>
      </w:r>
      <w:r>
        <w:rPr>
          <w:bCs/>
          <w:b/>
        </w:rPr>
        <w:t xml:space="preserve">H1 supported</w:t>
      </w:r>
      <w:r>
        <w:t xml:space="preserve"> </w:t>
      </w:r>
      <w:r>
        <w:t xml:space="preserve">(return rises monotonically with replacement),</w:t>
      </w:r>
      <w:r>
        <w:t xml:space="preserve"> </w:t>
      </w:r>
      <w:r>
        <w:rPr>
          <w:bCs/>
          <w:b/>
        </w:rPr>
        <w:t xml:space="preserve">H2 supported and statistically reliable</w:t>
      </w:r>
      <w:r>
        <w:t xml:space="preserve"> </w:t>
      </w:r>
      <w:r>
        <w:t xml:space="preserve">(drawdown deepens, P≈91%),</w:t>
      </w:r>
      <w:r>
        <w:t xml:space="preserve"> </w:t>
      </w:r>
      <w:r>
        <w:rPr>
          <w:bCs/>
          <w:b/>
        </w:rPr>
        <w:t xml:space="preserve">H3 supported</w:t>
      </w:r>
      <w:r>
        <w:t xml:space="preserve"> </w:t>
      </w:r>
      <w:r>
        <w:t xml:space="preserve">(sign flips across regimes and crisis types),</w:t>
      </w:r>
      <w:r>
        <w:t xml:space="preserve"> </w:t>
      </w:r>
      <w:r>
        <w:rPr>
          <w:bCs/>
          <w:b/>
        </w:rPr>
        <w:t xml:space="preserve">H4 qualified</w:t>
      </w:r>
      <w:r>
        <w:t xml:space="preserve"> </w:t>
      </w:r>
      <w:r>
        <w:t xml:space="preserve">— a partial replacement is the</w:t>
      </w:r>
      <w:r>
        <w:t xml:space="preserve"> </w:t>
      </w:r>
      <w:r>
        <w:t xml:space="preserve">better</w:t>
      </w:r>
      <w:r>
        <w:t xml:space="preserve"> </w:t>
      </w:r>
      <w:r>
        <w:rPr>
          <w:iCs/>
          <w:i/>
        </w:rPr>
        <w:t xml:space="preserve">compromise</w:t>
      </w:r>
      <w:r>
        <w:t xml:space="preserve">, but the risk-adjusted (Sharpe) differences are</w:t>
      </w:r>
      <w:r>
        <w:t xml:space="preserve"> </w:t>
      </w:r>
      <w:r>
        <w:rPr>
          <w:bCs/>
          <w:b/>
        </w:rPr>
        <w:t xml:space="preserve">not statistically</w:t>
      </w:r>
      <w:r>
        <w:rPr>
          <w:bCs/>
          <w:b/>
        </w:rPr>
        <w:t xml:space="preserve"> </w:t>
      </w:r>
      <w:r>
        <w:rPr>
          <w:bCs/>
          <w:b/>
        </w:rPr>
        <w:t xml:space="preserve">distinguishable from zero</w:t>
      </w:r>
      <w:r>
        <w:t xml:space="preserve">, so we do not claim a unique optimal ratio.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Base case ±20%; §7 shows the conclusion is</w:t>
      </w:r>
      <w:r>
        <w:t xml:space="preserve"> </w:t>
      </w:r>
      <w:r>
        <w:t xml:space="preserve">insensitive to ±5/8/10/15/20%.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residual is dominated by the foreign-equity</w:t>
      </w:r>
      <w:r>
        <w:t xml:space="preserve"> </w:t>
      </w:r>
      <w:r>
        <w:t xml:space="preserve">proxy (a USD price index + FX standing in for 50% of the book). We therefore treat the</w:t>
      </w:r>
      <w:r>
        <w:t xml:space="preserve"> </w:t>
      </w:r>
      <w:r>
        <w:t xml:space="preserve">reconstruction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and note that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 and every replacement book, so its bias is common to all — though,</w:t>
      </w:r>
      <w:r>
        <w:t xml:space="preserve"> </w:t>
      </w:r>
      <w:r>
        <w:t xml:space="preserve">under band rebalancing,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timing, turnover</w:t>
      </w:r>
      <w:r>
        <w:t xml:space="preserve"> </w:t>
      </w:r>
      <w:r>
        <w:t xml:space="preserve">and cost, a second-order effect).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rPr>
          <w:bCs/>
          <w:b/>
        </w:rPr>
        <w:t xml:space="preserve">Included</w:t>
      </w:r>
      <w:r>
        <w:t xml:space="preserve"> </w:t>
      </w:r>
      <w:r>
        <w:t xml:space="preserve">(investable, liquid, mark-to-market, ≤2009 history) and classified by</w:t>
      </w:r>
      <w:r>
        <w:t xml:space="preserve"> </w:t>
      </w:r>
      <w:r>
        <w:rPr>
          <w:iCs/>
          <w:i/>
        </w:rPr>
        <w:t xml:space="preserve">which</w:t>
      </w:r>
      <w:r>
        <w:rPr>
          <w:iCs/>
          <w:i/>
        </w:rPr>
        <w:t xml:space="preserve"> </w:t>
      </w:r>
      <w:r>
        <w:rPr>
          <w:iCs/>
          <w:i/>
        </w:rPr>
        <w:t xml:space="preserve">function of bonds</w:t>
      </w:r>
      <w:r>
        <w:t xml:space="preserve"> </w:t>
      </w:r>
      <w:r>
        <w:t xml:space="preserve">they proxy: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 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 substitute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(from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None is a</w:t>
      </w:r>
      <w:r>
        <w:t xml:space="preserve"> </w:t>
      </w:r>
      <w:r>
        <w:rPr>
          <w:bCs/>
          <w:b/>
        </w:rPr>
        <w:t xml:space="preserve">duration substitute</w:t>
      </w:r>
      <w:r>
        <w:t xml:space="preserve"> </w:t>
      </w:r>
      <w:r>
        <w:t xml:space="preserve">— the one bond function hardest to replace.</w:t>
      </w:r>
      <w:r>
        <w:t xml:space="preserve"> </w:t>
      </w:r>
      <w:r>
        <w:rPr>
          <w:bCs/>
          <w:b/>
        </w:rPr>
        <w:t xml:space="preserve">Primary</w:t>
      </w:r>
      <w:r>
        <w:rPr>
          <w:bCs/>
          <w:b/>
        </w:rPr>
        <w:t xml:space="preserve"> </w:t>
      </w:r>
      <w:r>
        <w:rPr>
          <w:bCs/>
          <w:b/>
        </w:rPr>
        <w:t xml:space="preserve">basket</w:t>
      </w:r>
      <w:r>
        <w:t xml:space="preserve"> </w:t>
      </w:r>
      <w:r>
        <w:t xml:space="preserve">= equal weight of the six with full 2008 history (convertibles excluded from the</w:t>
      </w:r>
      <w:r>
        <w:t xml:space="preserve"> </w:t>
      </w:r>
      <w:r>
        <w:t xml:space="preserve">primary basket because it lacks pre-2009 history; analysed separately as a candidate class).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odyText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The broad-vs-short contrast in R3 (−2.0% vs</w:t>
      </w:r>
      <w:r>
        <w:t xml:space="preserve"> </w:t>
      </w:r>
      <w:r>
        <w:t xml:space="preserve">−0.8%) is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correlate</w:t>
      </w:r>
      <w:r>
        <w:t xml:space="preserve"> </w:t>
      </w:r>
      <w:r>
        <w:t xml:space="preserve">0.79 but diverge in R3 — not redundant, so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drawdown, roughly unchanged</w:t>
      </w:r>
      <w:r>
        <w:rPr>
          <w:bCs/>
          <w:b/>
        </w:rPr>
        <w:t xml:space="preserve"> </w:t>
      </w:r>
      <w:r>
        <w:rPr>
          <w:bCs/>
          <w:b/>
        </w:rPr>
        <w:t xml:space="preserve">Sharpe.</w:t>
      </w:r>
      <w:r>
        <w:t xml:space="preserve"> </w:t>
      </w:r>
      <w:r>
        <w:t xml:space="preserve">That clean monotonic trade-off is the central finding.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paths) of the</w:t>
      </w:r>
      <w:r>
        <w:t xml:space="preserve"> </w:t>
      </w:r>
      <w:r>
        <w:rPr>
          <w:iCs/>
          <w:i/>
        </w:rPr>
        <w:t xml:space="preserve">difference vs AP5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median [5%, 95%]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P(ΔSharpe&gt;0)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drawdown)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+0.006 [−0.03, +0.04]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[−0.07, +0.07]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−0.019 [−0.13, +0.11]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 CI straddles</w:t>
      </w:r>
      <w:r>
        <w:t xml:space="preserve"> </w:t>
      </w:r>
      <w:r>
        <w:t xml:space="preserve">0). But replacement</w:t>
      </w:r>
      <w:r>
        <w:t xml:space="preserve"> </w:t>
      </w:r>
      <w:r>
        <w:rPr>
          <w:bCs/>
          <w:b/>
        </w:rPr>
        <w:t xml:space="preserve">reliably deepens drawdowns</w:t>
      </w:r>
      <w:r>
        <w:t xml:space="preserve"> </w:t>
      </w:r>
      <w:r>
        <w:t xml:space="preserve">(probability rising to 91%). This is the</w:t>
      </w:r>
      <w:r>
        <w:t xml:space="preserve"> </w:t>
      </w:r>
      <w:r>
        <w:t xml:space="preserve">honest statistical statement of H2/H4: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</w:t>
      </w:r>
      <w:r>
        <w:t xml:space="preserve"> </w:t>
      </w:r>
      <w:r>
        <w:t xml:space="preserve">not established.</w:t>
      </w:r>
    </w:p>
    <w:bookmarkEnd w:id="27"/>
    <w:bookmarkStart w:id="28" w:name="Xd3855d511bc070d20e394e3087e268c09bfdb7d"/>
    <w:p>
      <w:pPr>
        <w:pStyle w:val="Heading3"/>
      </w:pPr>
      <w:r>
        <w:t xml:space="preserve">6.4 Crisis behaviour — 2020 vs 2022 (stress table)</w:t>
      </w:r>
    </w:p>
    <w:p>
      <w:pPr>
        <w:pStyle w:val="FirstParagraph"/>
      </w:pPr>
      <w:r>
        <w:t xml:space="preserve">Total return over each stress window, net of fees: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variation — rebalancing band (±5/8/10/15/20%), transaction cost (0–50 bps),</w:t>
      </w:r>
      <w:r>
        <w:t xml:space="preserve"> </w:t>
      </w:r>
      <w:r>
        <w:t xml:space="preserve">the CHF-hedge assumption (hedged vs unhedged HY/EM), and the 2008–09 short-bond splice</w:t>
      </w:r>
      <w:r>
        <w:t xml:space="preserve"> </w:t>
      </w:r>
      <w:r>
        <w:t xml:space="preserve">(full sample vs 2010+) — two facts hold in all cases:</w:t>
      </w:r>
      <w:r>
        <w:t xml:space="preserve"> </w:t>
      </w:r>
      <w:r>
        <w:rPr>
          <w:bCs/>
          <w:b/>
        </w:rPr>
        <w:t xml:space="preserve">partial replacement (20%) matches or</w:t>
      </w:r>
      <w:r>
        <w:rPr>
          <w:bCs/>
          <w:b/>
        </w:rPr>
        <w:t xml:space="preserve"> </w:t>
      </w:r>
      <w:r>
        <w:rPr>
          <w:bCs/>
          <w:b/>
        </w:rPr>
        <w:t xml:space="preserve">slightly beats AP5 on Sharpe</w:t>
      </w:r>
      <w:r>
        <w:t xml:space="preserve">, and</w:t>
      </w:r>
      <w:r>
        <w:t xml:space="preserve"> </w:t>
      </w:r>
      <w:r>
        <w:rPr>
          <w:bCs/>
          <w:b/>
        </w:rPr>
        <w:t xml:space="preserve">full replacement deepens the drawdown</w:t>
      </w:r>
      <w:r>
        <w:t xml:space="preserve">. The</w:t>
      </w:r>
      <w:r>
        <w:t xml:space="preserve"> </w:t>
      </w:r>
      <w:r>
        <w:t xml:space="preserve">qualitative conclusion is not an artefact of any single assumption. (Hedging HY/EM does help:</w:t>
      </w:r>
      <w:r>
        <w:t xml:space="preserve"> </w:t>
      </w:r>
      <w:r>
        <w:t xml:space="preserve">unhedged, the full-replacement Sharpe falls from 0.47 to 0.44.)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0.53.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matters as much as the replacement fraction</w:t>
      </w:r>
      <w:r>
        <w:t xml:space="preserve"> </w:t>
      </w:r>
      <w:r>
        <w:t xml:space="preserve">— a</w:t>
      </w:r>
      <w:r>
        <w:t xml:space="preserve"> </w:t>
      </w:r>
      <w:r>
        <w:t xml:space="preserve">motivation for out-of-sample basket selection as future work.</w:t>
      </w:r>
    </w:p>
    <w:bookmarkEnd w:id="31"/>
    <w:bookmarkStart w:id="32" w:name="Xbddf55ea40be64226f84558918e5cd3b2a27aa5"/>
    <w:p>
      <w:pPr>
        <w:pStyle w:val="Heading2"/>
      </w:pPr>
      <w:r>
        <w:t xml:space="preserve">9. Recommendation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evidence favours partial rather than wholesale bond replacement.</w:t>
      </w:r>
      <w:r>
        <w:t xml:space="preserve"> </w:t>
      </w:r>
      <w:r>
        <w:t xml:space="preserve">A low-to-moderate</w:t>
      </w:r>
      <w:r>
        <w:t xml:space="preserve"> </w:t>
      </w:r>
      <w:r>
        <w:t xml:space="preserve">replacement (≈20–40%) provides the most attractive historical return–risk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—</w:t>
      </w:r>
      <w:r>
        <w:t xml:space="preserve"> </w:t>
      </w:r>
      <w:r>
        <w:t xml:space="preserve">but the analysis does</w:t>
      </w:r>
      <w:r>
        <w:t xml:space="preserve"> </w:t>
      </w:r>
      <w:r>
        <w:rPr>
          <w:bCs/>
          <w:b/>
        </w:rPr>
        <w:t xml:space="preserve">not identify a statistically unique optimal replacement ratio</w:t>
      </w:r>
      <w:r>
        <w:t xml:space="preserve"> </w:t>
      </w:r>
      <w:r>
        <w:t xml:space="preserve">(the Sharpe differences are within bootstrap noise).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</w:t>
      </w:r>
      <w:r>
        <w:t xml:space="preserve">: it reliably increases drawdown (P≈91%) without a</w:t>
      </w:r>
      <w:r>
        <w:t xml:space="preserve"> </w:t>
      </w:r>
      <w:r>
        <w:t xml:space="preserve">reliable Sharpe gain, and it removes the 2020-type flight-to-quality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Investable ETF/fund proxies (not the exact VZ funds); monthly frequency understates</w:t>
      </w:r>
      <w:r>
        <w:t xml:space="preserve"> </w:t>
      </w:r>
      <w:r>
        <w:t xml:space="preserve">intra-month drawdowns; foreign-equity CHF total return is a USD-price + FX proxy; the CHF</w:t>
      </w:r>
      <w:r>
        <w:t xml:space="preserve"> </w:t>
      </w:r>
      <w:r>
        <w:t xml:space="preserve">hedge and cash are policy-rate approximations; the short world-bond series is spliced pre-2010</w:t>
      </w:r>
      <w:r>
        <w:t xml:space="preserve"> </w:t>
      </w:r>
      <w:r>
        <w:t xml:space="preserve">(shown not to change conclusions); a single historical path (bootstrap addresses sampling, not</w:t>
      </w:r>
      <w:r>
        <w:t xml:space="preserve"> </w:t>
      </w:r>
      <w:r>
        <w:t xml:space="preserve">model, uncertainty). Regime inference from four buckets is descriptive, 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2026-08-16T19:41:18Z</dcterms:created>
  <dcterms:modified xsi:type="dcterms:W3CDTF">2026-08-16T19:41:18Z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