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0"/>
          <w:szCs w:val="30"/>
        </w:rPr>
        <w:t xml:space="preserve">PASO 1 — CORRECCIÓN METODOLÓGICA DEL DOCUMENTO DE TESIS</w:t>
      </w:r>
    </w:p>
    <w:p>
      <w:pPr>
        <w:spacing w:after="300"/>
        <w:jc w:val="center"/>
      </w:pPr>
      <w:r>
        <w:rPr>
          <w:i/>
          <w:iCs/>
          <w:sz w:val="22"/>
          <w:szCs w:val="22"/>
        </w:rPr>
        <w:t xml:space="preserve">Sistema web con chatbot para la gestión de pacientes en una fundación oncológica privada de Lima, 2026</w:t>
      </w:r>
    </w:p>
    <w:p>
      <w:pPr>
        <w:spacing w:after="150" w:line="300"/>
        <w:jc w:val="both"/>
      </w:pPr>
      <w:r>
        <w:rPr>
          <w:b w:val="false"/>
          <w:bCs w:val="false"/>
          <w:i w:val="false"/>
          <w:iCs w:val="false"/>
          <w:sz w:val="22"/>
          <w:szCs w:val="22"/>
        </w:rPr>
        <w:t xml:space="preserve">El presente documento contiene, párrafo por párrafo, el texto exacto que debe reemplazarse en la sección de Población, Muestra, Instrumentos, Definición de indicadores y Análisis estadístico del capítulo de Metodología, conforme al plan de corrección revisado. El cambio central es conceptual: se redefine la unidad de análisis para separar a los pacientes participantes (30) de los procesos de gestión que ellos generan (registros, citas, consultas), evitando forzar un número fijo de eventos por sesión y estableciendo las 13 sesiones pretest y las 13 sesiones postest como la base de la comparación estadística.</w:t>
      </w:r>
    </w:p>
    <w:p>
      <w:pPr>
        <w:spacing w:after="150" w:line="300"/>
        <w:jc w:val="both"/>
      </w:pPr>
      <w:r>
        <w:rPr>
          <w:b w:val="false"/>
          <w:bCs w:val="false"/>
          <w:i/>
          <w:iCs/>
          <w:sz w:val="22"/>
          <w:szCs w:val="22"/>
        </w:rPr>
        <w:t xml:space="preserve">Las tablas en gris muestran el texto que aparece actualmente en el documento; las tablas en verde muestran el texto propuesto para reemplazarlo. Las citas IEEE existentes se conservan donde corresponde.</w:t>
      </w:r>
    </w:p>
    <w:p>
      <w:pPr>
        <w:pStyle w:val="Heading2"/>
        <w:spacing w:after="100" w:before="200"/>
      </w:pPr>
      <w:r>
        <w:rPr>
          <w:b/>
          <w:bCs/>
          <w:sz w:val="24"/>
          <w:szCs w:val="24"/>
        </w:rPr>
        <w:t xml:space="preserve">1. Población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En cuanto a la población, esta estará conformada por un total de 32 pacientes activos registrados en la fundación oncológica durante el período de estudio, así como por los procesos administrativos generados en dicho intervalo de tiempo. Arias [34] señala que la población representa el conjunto total de elementos sobre los cuales se pretende obtener conclusiones, razón por la cual debe delimitarse adecuadamente según criterios temporales y contextuales.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La población de la presente investigación estará constituida por los procesos de gestión de pacientes generados en la fundación oncológica privada durante el período de estudio, comprendiendo los procesos de registro de pacientes, la programación y asistencia a citas médicas, y la atención de consultas administrativas. Como población accesible de referencia se considerarán los 32 pacientes activos registrados en la institución durante dicho período. Arias [34] señala que la población representa el conjunto total de elementos sobre los cuales se pretende obtener conclusiones, razón por la cual debe delimitarse adecuadamente según criterios temporales y contextuales.</w:t>
            </w:r>
          </w:p>
        </w:tc>
      </w:tr>
    </w:tbl>
    <w:p>
      <w:pPr>
        <w:spacing w:after="100"/>
      </w:pPr>
    </w:p>
    <w:p>
      <w:pPr>
        <w:spacing w:after="300"/>
      </w:pPr>
      <w:r>
        <w:rPr>
          <w:b/>
          <w:bCs/>
          <w:i/>
          <w:iCs/>
          <w:sz w:val="20"/>
          <w:szCs w:val="20"/>
        </w:rPr>
        <w:t xml:space="preserve">Justificación: </w:t>
      </w:r>
      <w:r>
        <w:rPr>
          <w:i/>
          <w:iCs/>
          <w:sz w:val="20"/>
          <w:szCs w:val="20"/>
        </w:rPr>
        <w:t xml:space="preserve">El texto actual mezclaba dos poblaciones distintas (pacientes y procesos administrativos) bajo una sola definición. Se separan para que cada indicador tenga una base conceptual coherente.</w:t>
      </w:r>
    </w:p>
    <w:p>
      <w:pPr>
        <w:pStyle w:val="Heading2"/>
        <w:spacing w:after="100" w:before="200"/>
      </w:pPr>
      <w:r>
        <w:rPr>
          <w:b/>
          <w:bCs/>
          <w:sz w:val="24"/>
          <w:szCs w:val="24"/>
        </w:rPr>
        <w:t xml:space="preserve">2. Muestra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La muestra estará conformada por 30 pacientes de la fundación oncológica. Esta cantidad se considera adecuada para un diseño preexperimental, ya que permitirá evaluar los cambios producidos en un mismo grupo antes y posterior a la ejecución del sistema web con chatbot [35]. Asimismo, se empleará un muestreo no probabilístico por conveniencia, debido a que los participantes serán seleccionados según criterios de accesibilidad y cumplimiento de las condiciones establecidas para el estudio. Otzen y Manterola [35] sostienen que este tipo de muestreo es frecuente en investigaciones aplicadas desarrolladas en contextos institucionales específicos.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Se considerará una muestra de 30 pacientes activos de la fundación oncológica como participantes del estudio, seleccionados mediante un muestreo no probabilístico por conveniencia, debido a que serán elegidos según criterios de accesibilidad y cumplimiento de las condiciones establecidas para la investigación. Otzen y Manterola [35] sostienen que este tipo de muestreo es frecuente en investigaciones aplicadas desarrolladas en contextos institucionales específicos. No obstante, dado que los indicadores TPR, tasa de ausentismo y nivel de consultas atendidas evalúan procesos de gestión y no exclusivamente a un mismo paciente en cada medición, serán los procesos generados por dichos participantes durante los períodos de observación —y no necesariamente un número fijo de eventos por paciente— los que constituirán la base para el cálculo de los indicadores, conforme se detalla en la definición de la unidad de análisis.</w:t>
            </w:r>
          </w:p>
        </w:tc>
      </w:tr>
    </w:tbl>
    <w:p>
      <w:pPr>
        <w:spacing w:after="100"/>
      </w:pPr>
    </w:p>
    <w:p>
      <w:pPr>
        <w:spacing w:after="300"/>
      </w:pPr>
      <w:r>
        <w:rPr>
          <w:b/>
          <w:bCs/>
          <w:i/>
          <w:iCs/>
          <w:sz w:val="20"/>
          <w:szCs w:val="20"/>
        </w:rPr>
        <w:t xml:space="preserve">Justificación: </w:t>
      </w:r>
      <w:r>
        <w:rPr>
          <w:i/>
          <w:iCs/>
          <w:sz w:val="20"/>
          <w:szCs w:val="20"/>
        </w:rPr>
        <w:t xml:space="preserve">Se elimina la afirmación de que los mismos 30 pacientes serán medidos 'antes y después' de forma equivalente, ya que en la práctica no necesariamente son los mismos pacientes en ambas etapas. Se aclara qué representan realmente los 30 pacientes.</w:t>
      </w:r>
    </w:p>
    <w:p>
      <w:pPr>
        <w:pStyle w:val="Heading2"/>
        <w:spacing w:after="100" w:before="200"/>
      </w:pPr>
      <w:r>
        <w:rPr>
          <w:b/>
          <w:bCs/>
          <w:sz w:val="24"/>
          <w:szCs w:val="24"/>
        </w:rPr>
        <w:t xml:space="preserve">3. Unidad de análisis</w:t>
      </w:r>
    </w:p>
    <w:p>
      <w:pPr>
        <w:spacing w:after="150" w:line="300"/>
        <w:jc w:val="both"/>
      </w:pPr>
      <w:r>
        <w:rPr>
          <w:b w:val="false"/>
          <w:bCs w:val="false"/>
          <w:i/>
          <w:iCs/>
          <w:sz w:val="22"/>
          <w:szCs w:val="22"/>
        </w:rPr>
        <w:t xml:space="preserve">(Párrafo nuevo — insertar inmediatamente después del párrafo de tamaño de muestra (antes del párrafo de "Para la recolección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(nuevo párrafo)</w:t>
            </w:r>
          </w:p>
        </w:tc>
      </w:tr>
      <w:tr>
        <w:tc>
          <w:tcPr>
            <w:tcW w:type="pct" w:w="100%"/>
            <w:shd w:fill="E2EFDA" w:val="clear"/>
            <w:tcMar>
              <w:top w:type="dxa" w:w="120"/>
              <w:left w:type="dxa" w:w="150"/>
              <w:bottom w:type="dxa" w:w="120"/>
              <w:right w:type="dxa" w:w="150"/>
            </w:tcMar>
          </w:tcPr>
          <w:p>
            <w:pPr>
              <w:jc w:val="both"/>
            </w:pPr>
            <w:r>
              <w:rPr>
                <w:sz w:val="21"/>
                <w:szCs w:val="21"/>
              </w:rPr>
              <w:t xml:space="preserve"/>
            </w:r>
          </w:p>
        </w:tc>
      </w:tr>
    </w:tbl>
    <w:p>
      <w:pPr>
        <w:spacing w:after="100"/>
      </w:pPr>
    </w:p>
    <w:p>
      <w:pPr>
        <w:spacing w:after="300"/>
      </w:pPr>
      <w:r>
        <w:rPr>
          <w:b/>
          <w:bCs/>
          <w:i/>
          <w:iCs/>
          <w:sz w:val="20"/>
          <w:szCs w:val="20"/>
        </w:rPr>
        <w:t xml:space="preserve">Justificación: </w:t>
      </w:r>
      <w:r>
        <w:rPr>
          <w:i/>
          <w:iCs/>
          <w:sz w:val="20"/>
          <w:szCs w:val="20"/>
        </w:rPr>
        <w:t xml:space="preserve">Es el cambio conceptual más importante del plan: fija qué cuenta como una observación para cada indicador y evita que, en el capítulo de resultados, se traten 390 registros como si fueran 390 pacientes independientes.</w:t>
      </w:r>
    </w:p>
    <w:p>
      <w:pPr>
        <w:spacing w:after="150" w:line="300"/>
        <w:jc w:val="both"/>
      </w:pPr>
      <w:r>
        <w:rPr>
          <w:b w:val="false"/>
          <w:bCs w:val="false"/>
          <w:i w:val="false"/>
          <w:iCs w:val="false"/>
          <w:sz w:val="22"/>
          <w:szCs w:val="22"/>
        </w:rPr>
        <w:t xml:space="preserve">Cabe precisar que, para efectos del presente estudio, la unidad de análisis variará según el indicador evaluado: para el Tiempo Promedio de Registro (TPR), la unidad de análisis será cada proceso de registro de paciente efectivamente ejecutado; para la tasa de ausentismo, cada cita médica programada elegible dentro del período de observación; y para el nivel de consultas atendidas, cada consulta administrativa recibida por el canal correspondiente. En consecuencia, el número de observaciones registradas por sesión podrá variar de acuerdo con la actividad real de la institución, sin que ello afecte la validez de la comparación pretest-postest, la cual se sustentará en la equivalencia de las 13 sesiones de observación (lunes, miércoles y viernes) aplicadas antes y después de la implementación del sistema.</w:t>
      </w:r>
    </w:p>
    <w:p>
      <w:pPr>
        <w:pStyle w:val="Heading2"/>
        <w:spacing w:after="100" w:before="200"/>
      </w:pPr>
      <w:r>
        <w:rPr>
          <w:b/>
          <w:bCs/>
          <w:sz w:val="24"/>
          <w:szCs w:val="24"/>
        </w:rPr>
        <w:t xml:space="preserve">4. Dimensión registro de pacientes / indicador TPR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La dimensión registro de pacientes hará referencia al proceso mediante el cual se recopilan, validan y almacenan los datos personales y clínicos necesarios para iniciar la atención médica dentro de la institución [28]. En la presente investigación, esta dimensión será evaluada mediante el indicador Tiempo Promedio de Registro (TPR), el cual mide el tiempo requerido para completar el proceso de registro desde el inicio del ingreso de datos hasta su almacenamiento en el sistema. Para ello, se utilizará una ficha de registro de tiempos alimentada por los timestamps generados automáticamente por el sistema web, permitiendo calcular diferencias temporales entre el pretest y el postest [29].</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La dimensión registro de pacientes hará referencia al proceso mediante el cual se recopilan, validan y almacenan los datos personales y clínicos necesarios para iniciar la atención médica dentro de la institución [28]. En la presente investigación, esta dimensión será evaluada mediante el indicador Tiempo Promedio de Registro (TPR), calculado como TPR = (Σ tiempo de cada registro) / (N.° de registros), donde el inicio corresponde al momento en que el personal empieza a ingresar los datos requeridos del paciente y el fin corresponde al momento en que dichos datos quedan almacenados correctamente, expresado en minutos. Durante el pretest, dicho tiempo se obtendrá mediante un registro manual estandarizado, dado que el sistema aún no se encuentra implementado; durante el postest, se obtendrá automáticamente mediante los timestamps generados por el sistema web, manteniendo en ambas etapas la misma definición de inicio y fin del proceso [29].</w:t>
            </w:r>
          </w:p>
        </w:tc>
      </w:tr>
    </w:tbl>
    <w:p>
      <w:pPr>
        <w:spacing w:after="100"/>
      </w:pPr>
    </w:p>
    <w:p>
      <w:pPr>
        <w:spacing w:after="300"/>
      </w:pPr>
      <w:r>
        <w:rPr>
          <w:b/>
          <w:bCs/>
          <w:i/>
          <w:iCs/>
          <w:sz w:val="20"/>
          <w:szCs w:val="20"/>
        </w:rPr>
        <w:t xml:space="preserve">Justificación: </w:t>
      </w:r>
      <w:r>
        <w:rPr>
          <w:i/>
          <w:iCs/>
          <w:sz w:val="20"/>
          <w:szCs w:val="20"/>
        </w:rPr>
        <w:t xml:space="preserve">El texto original afirmaba que el sistema generaría los timestamps 'durante el pretest y el postest', lo cual es imposible porque el sistema aún no existe durante el pretest. Se añade además la fórmula explícita y la definición operacional de inicio/fin.</w:t>
      </w:r>
    </w:p>
    <w:p>
      <w:pPr>
        <w:pStyle w:val="Heading2"/>
        <w:spacing w:after="100" w:before="200"/>
      </w:pPr>
      <w:r>
        <w:rPr>
          <w:b/>
          <w:bCs/>
          <w:sz w:val="24"/>
          <w:szCs w:val="24"/>
        </w:rPr>
        <w:t xml:space="preserve">5. Dimensión agendamiento de citas / indicador tasa de ausentismo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Otra dimensión considerada corresponde al agendamiento de citas médicas, entendido como el proceso encargado de organizar fechas, horarios y servicios médicos para garantizar una adecuada atención al paciente [30]. Esta dimensión será medida mediante el indicador tasa de ausentismo, el cual representa el porcentaje de pacientes que no asisten a sus citas programadas sin previo aviso. Un alto nivel de ausentismo afecta la continuidad del tratamiento y genera pérdida de recursos institucionales [31]. Torres Mendoza [29] demostró que los sistemas web con recordatorios automatizados permiten reducir significativamente las inasistencias médicas, validando la importancia de este indicador dentro de investigaciones relacionadas con gestión de citas.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Otra dimensión considerada corresponde al agendamiento de citas médicas, entendido como el proceso encargado de organizar fechas, horarios y servicios médicos para garantizar una adecuada atención al paciente [30]. Esta dimensión será medida mediante el indicador tasa de ausentismo, calculado como TA = (N.° de citas no asistidas sin previo aviso / N.° de citas programadas elegibles) × 100, donde la unidad de observación corresponde a cada cita médica programada y no al paciente individualmente. Se excluirán del denominador las citas canceladas por la institución, las canceladas previamente por el paciente y las reprogramadas antes de la fecha prevista, por no constituir inasistencias propiamente dichas. Un alto nivel de ausentismo afecta la continuidad del tratamiento y genera pérdida de recursos institucionales [31]. Torres Mendoza [29] demostró que los sistemas web con recordatorios automatizados permiten reducir significativamente las inasistencias médicas, validando la importancia de este indicador dentro de investigaciones relacionadas con gestión de citas.</w:t>
            </w:r>
          </w:p>
        </w:tc>
      </w:tr>
    </w:tbl>
    <w:p>
      <w:pPr>
        <w:spacing w:after="100"/>
      </w:pPr>
    </w:p>
    <w:p>
      <w:pPr>
        <w:spacing w:after="300"/>
      </w:pPr>
      <w:r>
        <w:rPr>
          <w:b/>
          <w:bCs/>
          <w:i/>
          <w:iCs/>
          <w:sz w:val="20"/>
          <w:szCs w:val="20"/>
        </w:rPr>
        <w:t xml:space="preserve">Justificación: </w:t>
      </w:r>
      <w:r>
        <w:rPr>
          <w:i/>
          <w:iCs/>
          <w:sz w:val="20"/>
          <w:szCs w:val="20"/>
        </w:rPr>
        <w:t xml:space="preserve">Se agrega la fórmula explícita, se fija la unidad de observación en la cita (no en el paciente) y se definen las exclusiones (canceladas, reprogramadas) para que el numerador y denominador sean consistentes.</w:t>
      </w:r>
    </w:p>
    <w:p>
      <w:pPr>
        <w:pStyle w:val="Heading2"/>
        <w:spacing w:after="100" w:before="200"/>
      </w:pPr>
      <w:r>
        <w:rPr>
          <w:b/>
          <w:bCs/>
          <w:sz w:val="24"/>
          <w:szCs w:val="24"/>
        </w:rPr>
        <w:t xml:space="preserve">6. Dimensión eficacia de la atención / indicador nivel de consultas atendidas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De igual manera, se considerará la dimensión eficacia de la atención, definida como el nivel en que el sistema de salud logra responder adecuadamente a las necesidades del paciente y resolver sus consultas de manera oportuna [33]. En el contexto de los sistemas web con chatbot, esta dimensión se relaciona con la capacidad de la herramienta para atender consultas sin requerir intervención humana. Por ello, el indicador Nivel de Consultas Atendidas permitirá medir el porcentaje de consultas resueltas correctamente respecto al total registrado en el sistema [13]. Este indicador constituye una medida directa del desempeño funcional del chatbot y de su aporte en la automatización de procesos administrativos y asistenciales.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De igual manera, se considerará la dimensión eficacia de la atención, definida como el nivel en que el sistema de salud logra responder adecuadamente a las necesidades del paciente y resolver sus consultas de manera oportuna [33]. En el contexto de los sistemas web con chatbot, esta dimensión se relaciona con la capacidad de la herramienta para atender consultas sin requerir intervención humana. Por ello, el indicador Nivel de Consultas Atendidas se calculará como NCA = (N.° de consultas resueltas correctamente / N.° de consultas recibidas) × 100, donde la unidad de observación corresponde a cada consulta administrativa recibida. Se considerará una consulta atendida cuando el chatbot proporcione una respuesta correspondiente a la intención del usuario, entregue la información solicitada y no requiera derivación a personal humano para completar la atención. Con la finalidad de garantizar la comparabilidad entre el pretest y el postest, las consultas se clasificarán en categorías equivalentes (citas, horarios, información institucional, requisitos, ubicación y seguimiento administrativo), registrándose durante el pretest las consultas recibidas por los canales habituales de la institución y, durante el postest, las recibidas a través del chatbot. Este indicador constituye una medida directa del desempeño funcional del chatbot y de su aporte en la automatización de procesos administrativos y asistenciales [13].</w:t>
            </w:r>
          </w:p>
        </w:tc>
      </w:tr>
    </w:tbl>
    <w:p>
      <w:pPr>
        <w:spacing w:after="100"/>
      </w:pPr>
    </w:p>
    <w:p>
      <w:pPr>
        <w:spacing w:after="300"/>
      </w:pPr>
      <w:r>
        <w:rPr>
          <w:b/>
          <w:bCs/>
          <w:i/>
          <w:iCs/>
          <w:sz w:val="20"/>
          <w:szCs w:val="20"/>
        </w:rPr>
        <w:t xml:space="preserve">Justificación: </w:t>
      </w:r>
      <w:r>
        <w:rPr>
          <w:i/>
          <w:iCs/>
          <w:sz w:val="20"/>
          <w:szCs w:val="20"/>
        </w:rPr>
        <w:t xml:space="preserve">Se define explícitamente qué significa 'resuelta correctamente' (antes quedaba ambiguo) y se asegura la comparabilidad entre canales pretest y postest mediante categorías equivalentes de consulta.</w:t>
      </w:r>
    </w:p>
    <w:p>
      <w:pPr>
        <w:pStyle w:val="Heading2"/>
        <w:spacing w:after="100" w:before="200"/>
      </w:pPr>
      <w:r>
        <w:rPr>
          <w:b/>
          <w:bCs/>
          <w:sz w:val="24"/>
          <w:szCs w:val="24"/>
        </w:rPr>
        <w:t xml:space="preserve">7. Instrumentos de recolección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Para la recolección de datos se utilizarán dos instrumentos. El primero será una ficha de registro de tiempos, la cual permitirá registrar automáticamente el inicio y el término de cada proceso mediante marcas de tiempo generadas por el sistema, favoreciendo una medición precisa durante las etapas de pretest y postest [29]. El segundo instrumento corresponderá a la ficha de registro del sistema, encargada de almacenar información sobre las consultas recibidas, las atendidas por el chatbot y los tiempos de respuesta [16], [26]. Ambos instrumentos serán sometidos a juicio de expertos con el propósito de evaluar su validez de contenido. Las fichas de validación se incluyen en el Anexo 3 y serán suscritas una vez conformado el panel de especialistas.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Para la recolección de datos se utilizarán dos instrumentos. El primero será una ficha de registro de tiempos destinada a medir el indicador TPR, la cual durante el pretest se alimentará mediante un registro manual estandarizado del inicio y el término de cada proceso de registro, y durante el postest se alimentará automáticamente mediante las marcas de tiempo (timestamps) generadas por el sistema web, manteniendo en ambas etapas la misma definición operacional de inicio y fin del proceso [29]. El segundo instrumento corresponderá a la ficha de registro de gestión de pacientes, encargada de almacenar la información relativa a las citas programadas y su asistencia —para el cálculo de la tasa de ausentismo— y a las consultas administrativas recibidas y su resolución —para el cálculo del nivel de consultas atendidas—, incluyendo los tiempos de respuesta correspondientes [16], [26]. Durante el pretest, este instrumento registrará las citas y consultas gestionadas por los canales habituales de la institución (presencial, telefónico y WhatsApp institucional); durante el postest, registrará las gestionadas a través del sistema web con chatbot, garantizando la comparabilidad mediante la categorización de las consultas por tipo. Ambos instrumentos serán sometidos a juicio de expertos con el propósito de evaluar su validez de contenido. Las fichas de validación se incluyen en el Anexo 3 y serán suscritas una vez conformado el panel de especialistas.</w:t>
            </w:r>
          </w:p>
        </w:tc>
      </w:tr>
    </w:tbl>
    <w:p>
      <w:pPr>
        <w:spacing w:after="100"/>
      </w:pPr>
    </w:p>
    <w:p>
      <w:pPr>
        <w:spacing w:after="300"/>
      </w:pPr>
      <w:r>
        <w:rPr>
          <w:b/>
          <w:bCs/>
          <w:i/>
          <w:iCs/>
          <w:sz w:val="20"/>
          <w:szCs w:val="20"/>
        </w:rPr>
        <w:t xml:space="preserve">Justificación: </w:t>
      </w:r>
      <w:r>
        <w:rPr>
          <w:i/>
          <w:iCs/>
          <w:sz w:val="20"/>
          <w:szCs w:val="20"/>
        </w:rPr>
        <w:t xml:space="preserve">Se corrige la afirmación de que el sistema genera timestamps 'durante las etapas de pretest y postest' (imposible en el pretest) y se especifican los componentes de cada instrumento, alineándolos con los tres indicadores.</w:t>
      </w:r>
    </w:p>
    <w:p>
      <w:pPr>
        <w:pStyle w:val="Heading2"/>
        <w:spacing w:after="100" w:before="200"/>
      </w:pPr>
      <w:r>
        <w:rPr>
          <w:b/>
          <w:bCs/>
          <w:sz w:val="24"/>
          <w:szCs w:val="24"/>
        </w:rPr>
        <w:t xml:space="preserve">8. Análisis de datos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D9D9D9" w:val="clear"/>
            <w:tcMar>
              <w:top w:type="dxa" w:w="100"/>
              <w:left w:type="dxa" w:w="150"/>
              <w:bottom w:type="dxa" w:w="100"/>
              <w:right w:type="dxa" w:w="150"/>
            </w:tcMar>
          </w:tcPr>
          <w:p>
            <w:r>
              <w:rPr>
                <w:b/>
                <w:bCs/>
                <w:sz w:val="20"/>
                <w:szCs w:val="20"/>
              </w:rPr>
              <w:t xml:space="preserve">TEXTO ACTUAL</w:t>
            </w:r>
          </w:p>
        </w:tc>
      </w:tr>
      <w:tr>
        <w:tc>
          <w:tcPr>
            <w:tcW w:type="pct" w:w="100%"/>
            <w:shd w:fill="F2F2F2" w:val="clear"/>
            <w:tcMar>
              <w:top w:type="dxa" w:w="120"/>
              <w:left w:type="dxa" w:w="150"/>
              <w:bottom w:type="dxa" w:w="120"/>
              <w:right w:type="dxa" w:w="150"/>
            </w:tcMar>
          </w:tcPr>
          <w:p>
            <w:pPr>
              <w:jc w:val="both"/>
            </w:pPr>
            <w:r>
              <w:rPr>
                <w:sz w:val="21"/>
                <w:szCs w:val="21"/>
              </w:rPr>
              <w:t xml:space="preserve">El análisis se desarrollará en dos niveles complementarios. A nivel descriptivo, se calcularán la media, mediana y desviación estándar para caracterizar el comportamiento de los indicadores antes y después de la intervención, utilizando IBM SPSS Statistics versión 29 [16], [26]. A nivel inferencial, se verificará la normalidad mediante la prueba de Shapiro-Wilk, prueba idónea para muestras pequeñas (n ≤ 50), y dado que se esperará una distribución no normal en muestras pequeñas (n=30), se aplicará la prueba no paramétrica de Wilcoxon para muestras relacionadas [26]. El nivel de significancia establecido será α = 0,05; es decir, un valor p &lt; 0,05 permitirá rechazar la hipótesis nula y concluir que el sistema producirá una mejora estadísticamente significativa en el indicador evaluado.</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C6E0B4" w:val="clear"/>
            <w:tcMar>
              <w:top w:type="dxa" w:w="100"/>
              <w:left w:type="dxa" w:w="150"/>
              <w:bottom w:type="dxa" w:w="100"/>
              <w:right w:type="dxa" w:w="150"/>
            </w:tcMar>
          </w:tcPr>
          <w:p>
            <w:r>
              <w:rPr>
                <w:b/>
                <w:bCs/>
                <w:sz w:val="20"/>
                <w:szCs w:val="20"/>
              </w:rPr>
              <w:t xml:space="preserve">TEXTO PROPUESTO (reemplazo)</w:t>
            </w:r>
          </w:p>
        </w:tc>
      </w:tr>
      <w:tr>
        <w:tc>
          <w:tcPr>
            <w:tcW w:type="pct" w:w="100%"/>
            <w:shd w:fill="E2EFDA" w:val="clear"/>
            <w:tcMar>
              <w:top w:type="dxa" w:w="120"/>
              <w:left w:type="dxa" w:w="150"/>
              <w:bottom w:type="dxa" w:w="120"/>
              <w:right w:type="dxa" w:w="150"/>
            </w:tcMar>
          </w:tcPr>
          <w:p>
            <w:pPr>
              <w:jc w:val="both"/>
            </w:pPr>
            <w:r>
              <w:rPr>
                <w:sz w:val="21"/>
                <w:szCs w:val="21"/>
              </w:rPr>
              <w:t xml:space="preserve">El análisis se desarrollará en dos niveles complementarios. A nivel descriptivo, se calcularán la media, la mediana y la desviación estándar para caracterizar el comportamiento de cada indicador antes y después de la intervención, utilizando IBM SPSS Statistics versión 29 [16], [26]. Para el análisis inferencial, la unidad de comparación estará constituida por las 13 sesiones de observación (lunes, miércoles y viernes) aplicadas durante el pretest y las 13 sesiones equivalentes aplicadas durante el postest, obteniéndose para cada sesión un valor consolidado de TPR, tasa de ausentismo y nivel de consultas atendidas; de este modo se conformarán 13 pares de observación relacionadas por indicador. A partir de dichos pares, se evaluará la normalidad de las diferencias mediante la prueba de Shapiro-Wilk, adecuada para muestras pequeñas (n ≤ 50), seleccionándose la prueba de comparación pertinente según el resultado obtenido: la prueba t de Student para muestras relacionadas en caso de verificarse normalidad, o la prueba no paramétrica de Wilcoxon para muestras relacionadas en caso contrario [26]. El nivel de significancia establecido será α = 0,05; es decir, un valor p &lt; 0,05 permitirá rechazar la hipótesis nula y concluir que el sistema produce una mejora estadísticamente significativa en el indicador evaluado.</w:t>
            </w:r>
          </w:p>
        </w:tc>
      </w:tr>
    </w:tbl>
    <w:p>
      <w:pPr>
        <w:spacing w:after="100"/>
      </w:pPr>
    </w:p>
    <w:p>
      <w:pPr>
        <w:spacing w:after="300"/>
      </w:pPr>
      <w:r>
        <w:rPr>
          <w:b/>
          <w:bCs/>
          <w:i/>
          <w:iCs/>
          <w:sz w:val="20"/>
          <w:szCs w:val="20"/>
        </w:rPr>
        <w:t xml:space="preserve">Justificación: </w:t>
      </w:r>
      <w:r>
        <w:rPr>
          <w:i/>
          <w:iCs/>
          <w:sz w:val="20"/>
          <w:szCs w:val="20"/>
        </w:rPr>
        <w:t xml:space="preserve">Se elimina la afirmación de que la no normalidad se asume solo por tener n=30; la prueba de normalidad debe aplicarse sobre los datos reales. Se redefine la unidad estadística como 13 pares de sesiones, no 30 pacientes ni 390 registros.</w:t>
      </w:r>
    </w:p>
    <w:p>
      <w:pPr>
        <w:pStyle w:val="Heading1"/>
        <w:spacing w:after="150" w:before="300"/>
      </w:pPr>
      <w:r>
        <w:rPr>
          <w:b/>
          <w:bCs/>
          <w:color w:val="1F4E78"/>
          <w:sz w:val="26"/>
          <w:szCs w:val="26"/>
        </w:rPr>
        <w:t xml:space="preserve">Observación pendiente para el capítulo de Resultados</w:t>
      </w:r>
    </w:p>
    <w:p>
      <w:pPr>
        <w:spacing w:after="150" w:line="300"/>
        <w:jc w:val="both"/>
      </w:pPr>
      <w:r>
        <w:rPr>
          <w:b w:val="false"/>
          <w:bCs w:val="false"/>
          <w:i w:val="false"/>
          <w:iCs w:val="false"/>
          <w:sz w:val="22"/>
          <w:szCs w:val="22"/>
        </w:rPr>
        <w:t xml:space="preserve">El planteamiento de hipótesis (general y específicas) no requiere modificación en esta etapa. Sin embargo, cuando se redacte el capítulo de Resultados, se recomienda reportar la dirección esperada de cada indicador de forma explícita: TPR (pretest &gt; postest), tasa de ausentismo (pretest &gt; postest) y nivel de consultas atendidas (postest &gt; pretest), en lugar de emplear únicamente el término genérico "mejoró".</w:t>
      </w:r>
    </w:p>
    <w:p>
      <w:pPr>
        <w:pStyle w:val="Heading1"/>
        <w:spacing w:after="150" w:before="300"/>
      </w:pPr>
      <w:r>
        <w:rPr>
          <w:b/>
          <w:bCs/>
          <w:color w:val="1F4E78"/>
          <w:sz w:val="26"/>
          <w:szCs w:val="26"/>
        </w:rPr>
        <w:t xml:space="preserve">Siguiente paso</w:t>
      </w:r>
    </w:p>
    <w:p>
      <w:pPr>
        <w:spacing w:after="150" w:line="300"/>
        <w:jc w:val="both"/>
      </w:pPr>
      <w:r>
        <w:rPr>
          <w:b w:val="false"/>
          <w:bCs w:val="false"/>
          <w:i w:val="false"/>
          <w:iCs w:val="false"/>
          <w:sz w:val="22"/>
          <w:szCs w:val="22"/>
        </w:rPr>
        <w:t xml:space="preserve">Con esta corrección aplicada al documento, el paso 2 del plan es reconstruir la matriz de operacionalización de variables (dimensión, indicador, definición operacional, fórmula, unidad, escala, instrumento y técnica) de manera consistente con los cambios anteriores.</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2026-09-26T20:12:39.776Z</dcterms:created>
  <dcterms:modified xsi:type="dcterms:W3CDTF">2026-09-26T20:12:39.785Z</dcterms:modified>
</cp:coreProperties>
</file>

<file path=docProps/custom.xml><?xml version="1.0" encoding="utf-8"?>
<Properties xmlns="http://schemas.openxmlformats.org/officeDocument/2006/custom-properties" xmlns:vt="http://schemas.openxmlformats.org/officeDocument/2006/docPropsVTypes"/>
</file>