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3 — ANTECEDENTES</w:t>
      </w:r>
    </w:p>
    <w:p>
      <w:pPr>
        <w:pBdr>
          <w:bottom w:val="single" w:color="1F3864" w:sz="8" w:space="4"/>
        </w:pBdr>
        <w:spacing w:after="200"/>
        <w:jc w:val="center"/>
      </w:pPr>
      <w:r>
        <w:rPr>
          <w:rFonts w:ascii="Arial" w:cs="Arial" w:eastAsia="Arial" w:hAnsi="Arial"/>
          <w:color w:val="555555"/>
          <w:sz w:val="18"/>
          <w:szCs w:val="18"/>
        </w:rPr>
        <w:t xml:space="preserve">Sistema web con chatbot para la gestión de pacientes en una fundación oncológica privada de Lima, 2026 · 26/09/2026</w:t>
      </w:r>
    </w:p>
    <w:p>
      <w:pPr>
        <w:pStyle w:val="Heading1"/>
        <w:spacing w:after="120" w:before="240"/>
      </w:pPr>
      <w:r>
        <w:rPr>
          <w:rFonts w:ascii="Arial" w:cs="Arial" w:eastAsia="Arial" w:hAnsi="Arial"/>
          <w:b/>
          <w:bCs/>
          <w:color w:val="1F3864"/>
          <w:sz w:val="26"/>
          <w:szCs w:val="26"/>
        </w:rPr>
        <w:t xml:space="preserve">1. Punto de partida</w:t>
      </w:r>
    </w:p>
    <w:p>
      <w:pPr>
        <w:spacing w:after="110" w:line="300"/>
        <w:jc w:val="both"/>
      </w:pPr>
      <w:r>
        <w:rPr>
          <w:rFonts w:ascii="Arial" w:cs="Arial" w:eastAsia="Arial" w:hAnsi="Arial"/>
          <w:sz w:val="22"/>
          <w:szCs w:val="22"/>
        </w:rPr>
        <w:t xml:space="preserve">De la Sesión 2 quedaron pendientes los datos reales de la fundación (el 65 % de ausentismo y los datos de dimensionamiento) y la validación con el asesor de la regla de decisión de la hipótesis general. Antes de iniciar esta sesión se pasó a pasado todo el capítulo de Metodología: paráfrasis de autores ("precisaron", "señaló"), remisiones a anexos ("se incluyó en el Anexo…") y verbos restantes.</w:t>
      </w:r>
    </w:p>
    <w:p>
      <w:pPr>
        <w:pStyle w:val="Heading1"/>
        <w:spacing w:after="120" w:before="240"/>
      </w:pPr>
      <w:r>
        <w:rPr>
          <w:rFonts w:ascii="Arial" w:cs="Arial" w:eastAsia="Arial" w:hAnsi="Arial"/>
          <w:b/>
          <w:bCs/>
          <w:color w:val="1F3864"/>
          <w:sz w:val="26"/>
          <w:szCs w:val="26"/>
        </w:rPr>
        <w:t xml:space="preserve">2. Criterios aplicados (guía V07, numeral 5.2.3)</w:t>
      </w:r>
    </w:p>
    <w:p>
      <w:pPr>
        <w:pStyle w:val="ListParagraph"/>
        <w:numPr>
          <w:ilvl w:val="0"/>
          <w:numId w:val="2"/>
        </w:numPr>
        <w:spacing w:after="70" w:line="280"/>
      </w:pPr>
      <w:r>
        <w:rPr>
          <w:rFonts w:ascii="Arial" w:cs="Arial" w:eastAsia="Arial" w:hAnsi="Arial"/>
          <w:sz w:val="22"/>
          <w:szCs w:val="22"/>
        </w:rPr>
        <w:t xml:space="preserve">Al menos seis antecedentes internacionales publicados en artículos de revistas indexadas en Scopus, WoS o SciELO con SJR; nacionales si existen.</w:t>
      </w:r>
    </w:p>
    <w:p>
      <w:pPr>
        <w:pStyle w:val="ListParagraph"/>
        <w:numPr>
          <w:ilvl w:val="0"/>
          <w:numId w:val="2"/>
        </w:numPr>
        <w:spacing w:after="70" w:line="280"/>
      </w:pPr>
      <w:r>
        <w:rPr>
          <w:rFonts w:ascii="Arial" w:cs="Arial" w:eastAsia="Arial" w:hAnsi="Arial"/>
          <w:sz w:val="22"/>
          <w:szCs w:val="22"/>
        </w:rPr>
        <w:t xml:space="preserve">Redacción en pasado y en tercera persona, sin subtítulos, con una estructura interna similar en todos: autores, país, objetivo, método y muestra, resultados, conclusión y vínculo con el estudio.</w:t>
      </w:r>
    </w:p>
    <w:p>
      <w:pPr>
        <w:pStyle w:val="ListParagraph"/>
        <w:numPr>
          <w:ilvl w:val="0"/>
          <w:numId w:val="2"/>
        </w:numPr>
        <w:spacing w:after="70" w:line="280"/>
      </w:pPr>
      <w:r>
        <w:rPr>
          <w:rFonts w:ascii="Arial" w:cs="Arial" w:eastAsia="Arial" w:hAnsi="Arial"/>
          <w:sz w:val="22"/>
          <w:szCs w:val="22"/>
        </w:rPr>
        <w:t xml:space="preserve">Prioridad a los últimos cinco años. Solo se consignan datos que pudieron verificarse en la fuente; las cifras que no se confirmaron se retiraron.</w:t>
      </w:r>
    </w:p>
    <w:p>
      <w:pPr>
        <w:pStyle w:val="Heading1"/>
        <w:spacing w:after="120" w:before="240"/>
      </w:pPr>
      <w:r>
        <w:rPr>
          <w:rFonts w:ascii="Arial" w:cs="Arial" w:eastAsia="Arial" w:hAnsi="Arial"/>
          <w:b/>
          <w:bCs/>
          <w:color w:val="1F3864"/>
          <w:sz w:val="26"/>
          <w:szCs w:val="26"/>
        </w:rPr>
        <w:t xml:space="preserve">3. Cambios respecto del informe v3</w:t>
      </w:r>
    </w:p>
    <w:p>
      <w:pPr>
        <w:pStyle w:val="ListParagraph"/>
        <w:numPr>
          <w:ilvl w:val="0"/>
          <w:numId w:val="2"/>
        </w:numPr>
        <w:spacing w:after="70" w:line="280"/>
      </w:pPr>
      <w:r>
        <w:rPr>
          <w:rFonts w:ascii="Arial" w:cs="Arial" w:eastAsia="Arial" w:hAnsi="Arial"/>
          <w:b/>
          <w:bCs/>
          <w:sz w:val="22"/>
          <w:szCs w:val="22"/>
        </w:rPr>
        <w:t xml:space="preserve">Nuevos antecedentes verificados (4):</w:t>
      </w:r>
      <w:r>
        <w:rPr>
          <w:rFonts w:ascii="Arial" w:cs="Arial" w:eastAsia="Arial" w:hAnsi="Arial"/>
          <w:sz w:val="22"/>
          <w:szCs w:val="22"/>
        </w:rPr>
        <w:t xml:space="preserve"> AlSerkal et al. (inasistencias con IA, antes y después), Bai et al. (GPT-4 frente a oncólogos), Nishisako et al. (chatbots oncológicos con RAG) y Neo et al. (calidad de respuestas de chatbots a pacientes). Los cuatro están en revistas indexadas en Scopus y son de 2024–2025.</w:t>
      </w:r>
    </w:p>
    <w:p>
      <w:pPr>
        <w:pStyle w:val="ListParagraph"/>
        <w:numPr>
          <w:ilvl w:val="0"/>
          <w:numId w:val="2"/>
        </w:numPr>
        <w:spacing w:after="70" w:line="280"/>
      </w:pPr>
      <w:r>
        <w:rPr>
          <w:rFonts w:ascii="Arial" w:cs="Arial" w:eastAsia="Arial" w:hAnsi="Arial"/>
          <w:b/>
          <w:bCs/>
          <w:sz w:val="22"/>
          <w:szCs w:val="22"/>
        </w:rPr>
        <w:t xml:space="preserve">Cifras retiradas por no poder verificarse:</w:t>
      </w:r>
      <w:r>
        <w:rPr>
          <w:rFonts w:ascii="Arial" w:cs="Arial" w:eastAsia="Arial" w:hAnsi="Arial"/>
          <w:sz w:val="22"/>
          <w:szCs w:val="22"/>
        </w:rPr>
        <w:t xml:space="preserve"> las 82 222 interacciones y la mayor valoración de adultos mayores en Singh et al., y el 44 % de olvido atribuido a Alturbag (se conserva solo la conclusión cualitativa). En la v2 ya se habían retirado las cifras no verificables de Unlu et al.</w:t>
      </w:r>
    </w:p>
    <w:p>
      <w:pPr>
        <w:pStyle w:val="ListParagraph"/>
        <w:numPr>
          <w:ilvl w:val="0"/>
          <w:numId w:val="2"/>
        </w:numPr>
        <w:spacing w:after="70" w:line="280"/>
      </w:pPr>
      <w:r>
        <w:rPr>
          <w:rFonts w:ascii="Arial" w:cs="Arial" w:eastAsia="Arial" w:hAnsi="Arial"/>
          <w:b/>
          <w:bCs/>
          <w:sz w:val="22"/>
          <w:szCs w:val="22"/>
        </w:rPr>
        <w:t xml:space="preserve">Estructura homogénea:</w:t>
      </w:r>
      <w:r>
        <w:rPr>
          <w:rFonts w:ascii="Arial" w:cs="Arial" w:eastAsia="Arial" w:hAnsi="Arial"/>
          <w:sz w:val="22"/>
          <w:szCs w:val="22"/>
        </w:rPr>
        <w:t xml:space="preserve"> cada antecedente declara el objetivo, el método, la muestra, los resultados, la conclusión y su vínculo con un indicador del estudio.</w:t>
      </w:r>
    </w:p>
    <w:p>
      <w:pPr>
        <w:pStyle w:val="ListParagraph"/>
        <w:numPr>
          <w:ilvl w:val="0"/>
          <w:numId w:val="2"/>
        </w:numPr>
        <w:spacing w:after="70" w:line="280"/>
      </w:pPr>
      <w:r>
        <w:rPr>
          <w:rFonts w:ascii="Arial" w:cs="Arial" w:eastAsia="Arial" w:hAnsi="Arial"/>
          <w:b/>
          <w:bCs/>
          <w:sz w:val="22"/>
          <w:szCs w:val="22"/>
        </w:rPr>
        <w:t xml:space="preserve">Nacionales:</w:t>
      </w:r>
      <w:r>
        <w:rPr>
          <w:rFonts w:ascii="Arial" w:cs="Arial" w:eastAsia="Arial" w:hAnsi="Arial"/>
          <w:sz w:val="22"/>
          <w:szCs w:val="22"/>
        </w:rPr>
        <w:t xml:space="preserve"> se declara que no se hallaron artículos indexados peruanos sobre sistemas web con chatbot para la gestión de pacientes; se desarrolla el método de Soto Asencios et al. y se mantienen Huapaya-Huertas et al. y Salinas Santiago et al.</w:t>
      </w:r>
    </w:p>
    <w:p>
      <w:pPr>
        <w:pStyle w:val="ListParagraph"/>
        <w:numPr>
          <w:ilvl w:val="0"/>
          <w:numId w:val="2"/>
        </w:numPr>
        <w:spacing w:after="70" w:line="280"/>
      </w:pPr>
      <w:r>
        <w:rPr>
          <w:rFonts w:ascii="Arial" w:cs="Arial" w:eastAsia="Arial" w:hAnsi="Arial"/>
          <w:b/>
          <w:bCs/>
          <w:sz w:val="22"/>
          <w:szCs w:val="22"/>
        </w:rPr>
        <w:t xml:space="preserve">Párrafo de síntesis nuevo:</w:t>
      </w:r>
      <w:r>
        <w:rPr>
          <w:rFonts w:ascii="Arial" w:cs="Arial" w:eastAsia="Arial" w:hAnsi="Arial"/>
          <w:sz w:val="22"/>
          <w:szCs w:val="22"/>
        </w:rPr>
        <w:t xml:space="preserve"> convergencias (menos inasistencias con automatización; respuestas aceptables de los chatbots con supervisión) y divergencias (escala y contexto), que cierran con la brecha que cubre la tesis.</w:t>
      </w:r>
    </w:p>
    <w:p>
      <w:pPr>
        <w:spacing w:after="110" w:line="300"/>
        <w:jc w:val="both"/>
      </w:pPr>
      <w:r>
        <w:rPr>
          <w:rFonts w:ascii="Arial" w:cs="Arial" w:eastAsia="Arial" w:hAnsi="Arial"/>
          <w:sz w:val="20"/>
          <w:szCs w:val="20"/>
        </w:rPr>
        <w:t xml:space="preserve">Extensión del bloque de antecedentes: ≈ 1550 palabras. La introducción completa suma ahora ≈ 4 600 palabras (más de las diez páginas mínimas).</w:t>
      </w:r>
    </w:p>
    <w:p>
      <w:pPr>
        <w:sectPr>
          <w:pgSz w:w="11906" w:h="16838"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4. Matriz de antecedentes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1000"/>
        <w:gridCol w:w="1600"/>
        <w:gridCol w:w="2200"/>
        <w:gridCol w:w="2300"/>
        <w:gridCol w:w="2500"/>
        <w:gridCol w:w="1800"/>
        <w:gridCol w:w="408"/>
      </w:tblGrid>
      <w:tr>
        <w:trPr>
          <w:cantSplit/>
          <w:tblHeader/>
        </w:trPr>
        <w:tc>
          <w:tcPr>
            <w:tcW w:type="dxa" w:w="45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N.°</w:t>
            </w:r>
          </w:p>
        </w:tc>
        <w:tc>
          <w:tcPr>
            <w:tcW w:type="dxa" w:w="17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Autores y año</w:t>
            </w:r>
          </w:p>
        </w:tc>
        <w:tc>
          <w:tcPr>
            <w:tcW w:type="dxa" w:w="10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País</w:t>
            </w:r>
          </w:p>
        </w:tc>
        <w:tc>
          <w:tcPr>
            <w:tcW w:type="dxa" w:w="1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Revista (base)</w:t>
            </w:r>
          </w:p>
        </w:tc>
        <w:tc>
          <w:tcPr>
            <w:tcW w:type="dxa" w:w="2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Objetivo</w:t>
            </w:r>
          </w:p>
        </w:tc>
        <w:tc>
          <w:tcPr>
            <w:tcW w:type="dxa" w:w="23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Método y muestra</w:t>
            </w:r>
          </w:p>
        </w:tc>
        <w:tc>
          <w:tcPr>
            <w:tcW w:type="dxa" w:w="25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Resultados principales</w:t>
            </w:r>
          </w:p>
        </w:tc>
        <w:tc>
          <w:tcPr>
            <w:tcW w:type="dxa" w:w="1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Conclusión</w:t>
            </w:r>
          </w:p>
        </w:tc>
        <w:tc>
          <w:tcPr>
            <w:tcW w:type="dxa" w:w="40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Vínculo</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Unlu et al. [19], 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EE. UU.</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JMIR Formative Research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Orientar al personal sobre el retorno al trabajo mediante un chatbot web y reducir la carga del servicio de salud ocupacional.</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Desarrollo con metodología ágil; evaluación antes y después; sistema con más de 80 000 trabajadores.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El chatbot se diseñó y desplegó con rapidez y orientó eficientemente a los usuarios.</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Puede reducir el uso de recursos humanos del servicio.</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NCA; diseño pre-post</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2</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AlSerkal et al. [24], 2025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Emiratos Árabes Unidos</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JMIR Formative Research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Evaluar una solución de IA con tablero en tiempo real sobre inasistencias y tiempos de espera.</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Antes y después; red de atención primaria con más de 140 000 visitas al mes; inasistencia basal de 21 %.</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Reducción de 50,7 % en inasistencias (p &lt; 0,001) y de 5,7 min en tiempo de espera.</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La IA integrada a la analítica y a la historia clínica mejora la eficiencia.</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TA; diseño pre-post</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3</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Woodcock et al. [17], 2022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EE. UU.</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 Am. Med. Inform. Assoc.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Evaluar la adopción y los resultados del autoagendamiento automatizado.</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Estudio de caso cuantitativo; cerca de dos millones de citas.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El autoagendamiento pasó de 4 % a 15 %; menores tasas de cancelación e inasistencia en sus usuarios.</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El agendamiento automatizado ofrece ventajas a la organización.</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TA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4</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Daly et al. [20], 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EE. UU.</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JCO Oncology Practice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Mejorar la transición al alta de pacientes oncológicos con monitoreo digital de síntomas.</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Implementación y evaluación; 2 257 altas de 1 857 pacientes (2021–2022).</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65,9 % completó al menos una evaluación; 45,5 % de ellos generó alerta severa; recomendación neta de 84 %.</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La gestión digital de la transición es factible.</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Aceptación en población oncológica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Bai et al. [25], 2025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China</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 Med. Internet Res.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Comparar respuestas de GPT-4 y de oncólogos a mensajes asincrónicos de pacientes con cáncer.</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Estudio comparativo; 4 257 registros de 17 oncólogos (2020–2024).</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Desempeño prometedor en educación del paciente y decisiones, con necesidad de supervisión.</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Herramienta complementaria con supervisión médica.</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NCA; criterio de derivación</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Nishisako et al. [26], 2025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Japón</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JMIR Cancer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Reducir las alucinaciones de chatbots generativos que informan sobre el cáncer.</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Desarrollo y evaluación de chatbots con generación aumentada por recuperación (RAG).</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Con fuente institucional: 0 % de alucinaciones (GPT-4) y 6 % (GPT-3.5).</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Anclar el modelo en fuentes confiables lo hace apto para uso general.</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Diseño del chatbot; NCA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7</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Neo et al. [27], 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Front. Digit. Health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Evaluar a ChatGPT y Bard frente a preguntas de pacientes ambulatorios y cuidadores.</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Preguntas obtenidas por encuesta; calificación por exactitud, seguridad, pertinencia y legibilidad.</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Respuestas satisfactorias: 65,8 % (ChatGPT) y 75,8 % (Bard).</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La proporción de respuestas satisfactorias mide el desempeño del chatbot.</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NCA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8</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Singh et al. [28], 2023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EE. UU.</w:t>
            </w:r>
          </w:p>
        </w:tc>
        <w:tc>
          <w:tcPr>
            <w:tcW w:type="dxa" w:w="1600"/>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JMIR mHealth uHealth (Scopus)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Analizar la satisfacción con un chatbot de COVID-19 según riesgo y acciones de seguimiento.</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Estudio transversal.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highlight w:val="yellow"/>
              </w:rPr>
              <w:t xml:space="preserve">Cifras no verificadas; se retiraron del texto.</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Los chatbots para grupos de riesgo son una vía útil de primer contacto.</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Aceptación; NCA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9</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Soto Asencios et al. [10], 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Perú</w:t>
            </w:r>
          </w:p>
        </w:tc>
        <w:tc>
          <w:tcPr>
            <w:tcW w:type="dxa" w:w="1600"/>
            <w:tcBorders>
              <w:top w:val="single" w:color="999999" w:sz="4"/>
              <w:left w:val="single" w:color="999999" w:sz="4"/>
              <w:bottom w:val="single" w:color="999999" w:sz="4"/>
              <w:right w:val="single" w:color="999999" w:sz="4"/>
            </w:tcBorders>
            <w:shd w:fill="DDEBF7"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Horizonte Médico (SciELO)</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Identificar los factores asociados al ausentismo a la cita médica.</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Casos y controles, retrospectivo; 126 casos y 253 controles.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Ausentismo de 19,64 % (2 963 ausentes frente a 12 125 asistentes).</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Dimensiona el ausentismo en un hospital peruano.</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TA</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Huapaya-Huertas et al. [29], 2021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Perú</w:t>
            </w:r>
          </w:p>
        </w:tc>
        <w:tc>
          <w:tcPr>
            <w:tcW w:type="dxa" w:w="1600"/>
            <w:tcBorders>
              <w:top w:val="single" w:color="999999" w:sz="4"/>
              <w:left w:val="single" w:color="999999" w:sz="4"/>
              <w:bottom w:val="single" w:color="999999" w:sz="4"/>
              <w:right w:val="single" w:color="999999" w:sz="4"/>
            </w:tcBorders>
            <w:shd w:fill="DDEBF7"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An. Fac. Med. (SciELO)</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Describir la implementación de historias clínicas electrónicas.</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Reporte de experiencia institucional.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Implementación gradual, capacitación y gestión del cambio.</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La adopción depende del personal (TAM).</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Aceptación; registro</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11</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Salinas Santiago et al. [30], 2024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w:t>
            </w:r>
          </w:p>
        </w:tc>
        <w:tc>
          <w:tcPr>
            <w:tcW w:type="dxa" w:w="1600"/>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Rev. Cient. Biotech Eng. (</w:t>
            </w:r>
            <w:r>
              <w:rPr>
                <w:rFonts w:ascii="Arial" w:cs="Arial" w:eastAsia="Arial" w:hAnsi="Arial"/>
                <w:b w:val="false"/>
                <w:bCs w:val="false"/>
                <w:sz w:val="16"/>
                <w:szCs w:val="16"/>
                <w:highlight w:val="yellow"/>
              </w:rPr>
              <w:t xml:space="preserve">indexación no verificada</w:t>
            </w:r>
            <w:r>
              <w:rPr>
                <w:rFonts w:ascii="Arial" w:cs="Arial" w:eastAsia="Arial" w:hAnsi="Arial"/>
                <w:b w:val="false"/>
                <w:bCs w:val="false"/>
                <w:sz w:val="16"/>
                <w:szCs w:val="16"/>
              </w:rPr>
              <w:t xml:space="preserve">)</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Implementar un chatbot inteligente en mesas de ayuda.</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Implementación.</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Resolución más rápida y mejor percepción de los usuarios.</w:t>
            </w:r>
          </w:p>
        </w:tc>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Pertinencia del chatbot para consultas.</w:t>
            </w:r>
          </w:p>
        </w:tc>
        <w:tc>
          <w:tcPr>
            <w:tcW w:type="dxa" w:w="40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NCA</w:t>
            </w:r>
          </w:p>
        </w:tc>
      </w:tr>
    </w:tbl>
    <w:p>
      <w:pPr>
        <w:spacing w:after="110" w:line="300"/>
        <w:jc w:val="both"/>
      </w:pPr>
      <w:r>
        <w:rPr>
          <w:rFonts w:ascii="Arial" w:cs="Arial" w:eastAsia="Arial" w:hAnsi="Arial"/>
          <w:sz w:val="19"/>
          <w:szCs w:val="19"/>
        </w:rPr>
        <w:t xml:space="preserve">Nota. La numeración entre corchetes coincide con la del informe v4. Filas 1 a 8: internacionales; 9 a 11: nacionales. La indexación indicada debe confirmarse en Scimago antes de la entrega.</w:t>
      </w:r>
    </w:p>
    <w:p>
      <w:pPr>
        <w:pStyle w:val="Heading1"/>
        <w:spacing w:after="120" w:before="240"/>
      </w:pPr>
      <w:r>
        <w:rPr>
          <w:rFonts w:ascii="Arial" w:cs="Arial" w:eastAsia="Arial" w:hAnsi="Arial"/>
          <w:b/>
          <w:bCs/>
          <w:color w:val="1F3864"/>
          <w:sz w:val="26"/>
          <w:szCs w:val="26"/>
        </w:rPr>
        <w:t xml:space="preserve">5. Diagnóstico de referencias frente a la guía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5200"/>
        <w:gridCol w:w="1100"/>
        <w:gridCol w:w="1200"/>
        <w:gridCol w:w="3158"/>
      </w:tblGrid>
      <w:tr>
        <w:trPr>
          <w:cantSplit/>
          <w:tblHeader/>
        </w:trPr>
        <w:tc>
          <w:tcPr>
            <w:tcW w:type="dxa" w:w="33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Categoría</w:t>
            </w:r>
          </w:p>
        </w:tc>
        <w:tc>
          <w:tcPr>
            <w:tcW w:type="dxa" w:w="5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Referencias</w:t>
            </w:r>
          </w:p>
        </w:tc>
        <w:tc>
          <w:tcPr>
            <w:tcW w:type="dxa" w:w="11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Cantidad</w:t>
            </w:r>
          </w:p>
        </w:tc>
        <w:tc>
          <w:tcPr>
            <w:tcW w:type="dxa" w:w="12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 del total</w:t>
            </w:r>
          </w:p>
        </w:tc>
        <w:tc>
          <w:tcPr>
            <w:tcW w:type="dxa" w:w="31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6"/>
                <w:szCs w:val="16"/>
              </w:rPr>
              <w:t xml:space="preserve">Estado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Scopus (revista con SJR)</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 [2], [4], [5], [6], [7], [9], [17], [19], [20], [22], [23], [24], [25], [26], [27], [28], [31], [36], [45]</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20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42.6 %</w:t>
            </w:r>
          </w:p>
        </w:tc>
        <w:tc>
          <w:tcPr>
            <w:tcW w:type="dxa" w:w="31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Cumple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SciELO (verificar SJR en Scimago)</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[10], [29], [32], [34], [35], [41]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12.8 %</w:t>
            </w:r>
          </w:p>
        </w:tc>
        <w:tc>
          <w:tcPr>
            <w:tcW w:type="dxa" w:w="3158"/>
            <w:tcBorders>
              <w:top w:val="single" w:color="999999" w:sz="4"/>
              <w:left w:val="single" w:color="999999" w:sz="4"/>
              <w:bottom w:val="single" w:color="999999" w:sz="4"/>
              <w:right w:val="single" w:color="999999" w:sz="4"/>
            </w:tcBorders>
            <w:shd w:fill="DDEBF7"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Probable</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Verificar indexación vigente</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[3], [8]</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4.3 %</w:t>
            </w:r>
          </w:p>
        </w:tc>
        <w:tc>
          <w:tcPr>
            <w:tcW w:type="dxa" w:w="31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Verificar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Revista probablemente no indexada en SJR</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[30], [33], [37], [38], [39], [46]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12.8 %</w:t>
            </w:r>
          </w:p>
        </w:tc>
        <w:tc>
          <w:tcPr>
            <w:tcW w:type="dxa" w:w="31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Reemplazar o justificar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Tesis de grado</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[11], [12], [13], [14], [15], [16]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12.8 %</w:t>
            </w:r>
          </w:p>
        </w:tc>
        <w:tc>
          <w:tcPr>
            <w:tcW w:type="dxa" w:w="31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No cuenta como artículo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Libros</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[42], [43], [44]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6.4 %</w:t>
            </w:r>
          </w:p>
        </w:tc>
        <w:tc>
          <w:tcPr>
            <w:tcW w:type="dxa" w:w="31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No cuenta como artículo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Documentos oficiales o normativos</w:t>
            </w:r>
          </w:p>
        </w:tc>
        <w:tc>
          <w:tcPr>
            <w:tcW w:type="dxa" w:w="5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[18], [21], [40], [47]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4</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6"/>
                <w:szCs w:val="16"/>
              </w:rPr>
              <w:t xml:space="preserve">8.5 %</w:t>
            </w:r>
          </w:p>
        </w:tc>
        <w:tc>
          <w:tcPr>
            <w:tcW w:type="dxa" w:w="31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6"/>
                <w:szCs w:val="16"/>
              </w:rPr>
              <w:t xml:space="preserve">No cuenta como artículo</w:t>
            </w:r>
          </w:p>
        </w:tc>
      </w:tr>
    </w:tbl>
    <w:p>
      <w:pPr>
        <w:spacing w:after="110" w:line="300"/>
        <w:jc w:val="both"/>
      </w:pPr>
      <w:r>
        <w:rPr>
          <w:rFonts w:ascii="Arial" w:cs="Arial" w:eastAsia="Arial" w:hAnsi="Arial"/>
          <w:sz w:val="20"/>
          <w:szCs w:val="20"/>
        </w:rPr>
        <w:t xml:space="preserve">Total: 47 referencias. Idioma extranjero: 20 de 47 (≈ 43 %), cumple el mínimo de 30 %. Artículos en Scopus con SJR: 20 (≈ 43 %); sumando los de SciELO, 26 (≈ 55 %). </w:t>
      </w:r>
      <w:r>
        <w:rPr>
          <w:rFonts w:ascii="Arial" w:cs="Arial" w:eastAsia="Arial" w:hAnsi="Arial"/>
          <w:b/>
          <w:bCs/>
          <w:sz w:val="20"/>
          <w:szCs w:val="20"/>
        </w:rPr>
        <w:t xml:space="preserve">Todavía no se alcanza el 70 %.</w:t>
      </w:r>
    </w:p>
    <w:p>
      <w:pPr>
        <w:spacing w:after="110" w:line="300"/>
        <w:jc w:val="both"/>
      </w:pPr>
      <w:r>
        <w:rPr>
          <w:rFonts w:ascii="Arial" w:cs="Arial" w:eastAsia="Arial" w:hAnsi="Arial"/>
          <w:b/>
          <w:bCs/>
          <w:sz w:val="20"/>
          <w:szCs w:val="20"/>
        </w:rPr>
        <w:t xml:space="preserve">Plan para alcanzar el 70 %.</w:t>
      </w:r>
      <w:r>
        <w:rPr>
          <w:rFonts w:ascii="Arial" w:cs="Arial" w:eastAsia="Arial" w:hAnsi="Arial"/>
          <w:sz w:val="20"/>
          <w:szCs w:val="20"/>
        </w:rPr>
        <w:t xml:space="preserve"> Las seis revistas probablemente no indexadas sostienen sobre todo conceptos del marco teórico (chatbot, evolución de los asistentes virtuales, TAM, validación por expertos), por lo que se reemplazarán en la Sesión 4 por artículos indexados verificados. Además, conviene reducir las tesis de grado citadas en la realidad nacional de seis a dos o tres. Con ambos cambios, el total bajaría a unas 40 referencias con al menos 28 indexadas, es decir, alrededor del 70 %.</w:t>
      </w:r>
    </w:p>
    <w:p>
      <w:pPr>
        <w:sectPr>
          <w:pgSz w:w="16838" w:h="11906" w:orient="landscape"/>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6. Texto de los antecedentes (tal como queda en el informe v4)</w:t>
      </w:r>
    </w:p>
    <w:p>
      <w:pPr>
        <w:spacing w:after="110" w:line="320"/>
        <w:jc w:val="both"/>
      </w:pPr>
      <w:r>
        <w:rPr>
          <w:rFonts w:ascii="Arial" w:cs="Arial" w:eastAsia="Arial" w:hAnsi="Arial"/>
          <w:sz w:val="22"/>
          <w:szCs w:val="22"/>
        </w:rPr>
        <w:t xml:space="preserve">La revisión de la literatura permitió identificar antecedentes internacionales publicados en revistas indexadas que abordaron, desde distintos ángulos, los tres procesos estudiados. Unlu et al. [19]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10" w:line="320"/>
        <w:jc w:val="both"/>
      </w:pPr>
      <w:r>
        <w:rPr>
          <w:rFonts w:ascii="Arial" w:cs="Arial" w:eastAsia="Arial" w:hAnsi="Arial"/>
          <w:sz w:val="22"/>
          <w:szCs w:val="22"/>
        </w:rPr>
        <w:t xml:space="preserve">AlSerkal et al. [24]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10" w:line="320"/>
        <w:jc w:val="both"/>
      </w:pPr>
      <w:r>
        <w:rPr>
          <w:rFonts w:ascii="Arial" w:cs="Arial" w:eastAsia="Arial" w:hAnsi="Arial"/>
          <w:sz w:val="22"/>
          <w:szCs w:val="22"/>
        </w:rPr>
        <w:t xml:space="preserve">Woodcock et al. [17]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10" w:line="320"/>
        <w:jc w:val="both"/>
      </w:pPr>
      <w:r>
        <w:rPr>
          <w:rFonts w:ascii="Arial" w:cs="Arial" w:eastAsia="Arial" w:hAnsi="Arial"/>
          <w:sz w:val="22"/>
          <w:szCs w:val="22"/>
        </w:rPr>
        <w:t xml:space="preserve">En el ámbito oncológico, Daly et al. [20]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10" w:line="320"/>
        <w:jc w:val="both"/>
      </w:pPr>
      <w:r>
        <w:rPr>
          <w:rFonts w:ascii="Arial" w:cs="Arial" w:eastAsia="Arial" w:hAnsi="Arial"/>
          <w:sz w:val="22"/>
          <w:szCs w:val="22"/>
        </w:rPr>
        <w:t xml:space="preserve">Bai et al. [25]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10" w:line="320"/>
        <w:jc w:val="both"/>
      </w:pPr>
      <w:r>
        <w:rPr>
          <w:rFonts w:ascii="Arial" w:cs="Arial" w:eastAsia="Arial" w:hAnsi="Arial"/>
          <w:sz w:val="22"/>
          <w:szCs w:val="22"/>
        </w:rPr>
        <w:t xml:space="preserve">Nishisako et al. [26]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10" w:line="320"/>
        <w:jc w:val="both"/>
      </w:pPr>
      <w:r>
        <w:rPr>
          <w:rFonts w:ascii="Arial" w:cs="Arial" w:eastAsia="Arial" w:hAnsi="Arial"/>
          <w:sz w:val="22"/>
          <w:szCs w:val="22"/>
        </w:rPr>
        <w:t xml:space="preserve">Neo et al. [27]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10" w:line="320"/>
        <w:jc w:val="both"/>
      </w:pPr>
      <w:r>
        <w:rPr>
          <w:rFonts w:ascii="Arial" w:cs="Arial" w:eastAsia="Arial" w:hAnsi="Arial"/>
          <w:sz w:val="22"/>
          <w:szCs w:val="22"/>
        </w:rPr>
        <w:t xml:space="preserve">Singh et al. [28],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10" w:line="320"/>
        <w:jc w:val="both"/>
      </w:pPr>
      <w:r>
        <w:rPr>
          <w:rFonts w:ascii="Arial" w:cs="Arial" w:eastAsia="Arial" w:hAnsi="Arial"/>
          <w:sz w:val="22"/>
          <w:szCs w:val="22"/>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10" w:line="320"/>
        <w:jc w:val="both"/>
      </w:pPr>
      <w:r>
        <w:rPr>
          <w:rFonts w:ascii="Arial" w:cs="Arial" w:eastAsia="Arial" w:hAnsi="Arial"/>
          <w:sz w:val="22"/>
          <w:szCs w:val="22"/>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10" w:line="320"/>
        <w:jc w:val="both"/>
      </w:pPr>
      <w:r>
        <w:rPr>
          <w:rFonts w:ascii="Arial" w:cs="Arial" w:eastAsia="Arial" w:hAnsi="Arial"/>
          <w:sz w:val="22"/>
          <w:szCs w:val="22"/>
        </w:rPr>
        <w:t xml:space="preserve">Asimismo, Huapaya-Huertas et al. [29]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 Salinas Santiago et al. [30], a su vez, implementaron un chatbot inteligente para la gestión de mesas de ayuda y reportaron una resolución más rápida de las consultas y una percepción más favorable de los usuarios, resultado que respaldó la pertinencia del chatbot como canal de atención de consultas administrativas.</w:t>
      </w:r>
    </w:p>
    <w:p>
      <w:pPr>
        <w:spacing w:after="110" w:line="320"/>
        <w:jc w:val="both"/>
      </w:pPr>
      <w:r>
        <w:rPr>
          <w:rFonts w:ascii="Arial" w:cs="Arial" w:eastAsia="Arial" w:hAnsi="Arial"/>
          <w:sz w:val="22"/>
          <w:szCs w:val="22"/>
        </w:rPr>
        <w:t xml:space="preserve">En conjunto, los antecedentes coincidieron en que la automatización del agendamiento y los recordatorios se asociaron con menos inasistencias [17], [24], y en que los chatbots respondieron de forma aceptable a una proporción importante de las consultas de los pacientes, aunque con la necesidad de supervisión humana y de fuentes de información confiables [25]–[27].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pStyle w:val="Heading1"/>
        <w:spacing w:after="120" w:before="240"/>
      </w:pPr>
      <w:r>
        <w:rPr>
          <w:rFonts w:ascii="Arial" w:cs="Arial" w:eastAsia="Arial" w:hAnsi="Arial"/>
          <w:b/>
          <w:bCs/>
          <w:color w:val="1F3864"/>
          <w:sz w:val="26"/>
          <w:szCs w:val="26"/>
        </w:rPr>
        <w:t xml:space="preserve">7. Resultado de la sesión</w:t>
      </w:r>
    </w:p>
    <w:p>
      <w:pPr>
        <w:spacing w:after="110" w:line="300"/>
        <w:jc w:val="both"/>
      </w:pPr>
      <w:r>
        <w:rPr>
          <w:rFonts w:ascii="Arial" w:cs="Arial" w:eastAsia="Arial" w:hAnsi="Arial"/>
          <w:b/>
          <w:bCs/>
          <w:sz w:val="22"/>
          <w:szCs w:val="22"/>
        </w:rPr>
        <w:t xml:space="preserve">(a) Lo que se hizo.</w:t>
      </w:r>
      <w:r>
        <w:rPr>
          <w:rFonts w:ascii="Arial" w:cs="Arial" w:eastAsia="Arial" w:hAnsi="Arial"/>
          <w:sz w:val="22"/>
          <w:szCs w:val="22"/>
        </w:rPr>
        <w:t xml:space="preserve"> Metodología íntegramente en pasado; antecedentes reescritos con estructura homogénea (8 internacionales y 3 nacionales), cuatro estudios nuevos verificados, cifras no verificables retiradas, párrafo de síntesis y diagnóstico de indexación. Todo quedó integrado en el informe v4 (47 referencias, todas citadas, en orden IEEE).</w:t>
      </w:r>
    </w:p>
    <w:p>
      <w:pPr>
        <w:spacing w:after="110" w:line="300"/>
        <w:jc w:val="both"/>
      </w:pPr>
      <w:r>
        <w:rPr>
          <w:rFonts w:ascii="Arial" w:cs="Arial" w:eastAsia="Arial" w:hAnsi="Arial"/>
          <w:b/>
          <w:bCs/>
          <w:sz w:val="22"/>
          <w:szCs w:val="22"/>
        </w:rPr>
        <w:t xml:space="preserve">(b) Lo que falta.</w:t>
      </w:r>
      <w:r>
        <w:rPr>
          <w:rFonts w:ascii="Arial" w:cs="Arial" w:eastAsia="Arial" w:hAnsi="Arial"/>
          <w:sz w:val="22"/>
          <w:szCs w:val="22"/>
        </w:rPr>
        <w:t xml:space="preserve"> Llegar al 70 % de artículos indexados (Sesión 4) y confirmar en Scimago la indexación de las revistas marcadas como "probable" o "verificar".</w:t>
      </w:r>
    </w:p>
    <w:p>
      <w:pPr>
        <w:spacing w:after="110" w:line="300"/>
        <w:jc w:val="both"/>
      </w:pPr>
      <w:r>
        <w:rPr>
          <w:rFonts w:ascii="Arial" w:cs="Arial" w:eastAsia="Arial" w:hAnsi="Arial"/>
          <w:b/>
          <w:bCs/>
          <w:sz w:val="22"/>
          <w:szCs w:val="22"/>
        </w:rPr>
        <w:t xml:space="preserve">(c) Qué necesito para la Sesión 4 (Marco teórico).</w:t>
      </w:r>
      <w:r>
        <w:rPr>
          <w:rFonts w:ascii="Arial" w:cs="Arial" w:eastAsia="Arial" w:hAnsi="Arial"/>
          <w:sz w:val="22"/>
          <w:szCs w:val="22"/>
        </w:rPr>
        <w:t xml:space="preserve"> (1) La metodología de desarrollo de software que usaron (Scrum, XP u otra) y el stack tecnológico del sistema: frontend, backend, base de datos, canal de recordatorios y uso de Gemini y n8n. (2) Si el asesor exige teorías específicas o acepta el TAM, DeLone y McLean y el enfoque de comunicación en salud digital. (3) Conformidad para reemplazar las seis fuentes no indexadas del marco conceptual y reducir las tesis citadas.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2026-09-26T21:26:39.671Z</dcterms:created>
  <dcterms:modified xsi:type="dcterms:W3CDTF">2026-09-26T21:26:39.671Z</dcterms:modified>
</cp:coreProperties>
</file>

<file path=docProps/custom.xml><?xml version="1.0" encoding="utf-8"?>
<Properties xmlns="http://schemas.openxmlformats.org/officeDocument/2006/custom-properties" xmlns:vt="http://schemas.openxmlformats.org/officeDocument/2006/docPropsVTypes"/>
</file>