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en la gestión de pacientes de una fundación oncológica privada de Lima.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w:t>
      </w:r>
      <w:r>
        <w:rPr>
          <w:rFonts w:ascii="Arial" w:cs="Arial" w:eastAsia="Arial" w:hAnsi="Arial"/>
          <w:sz w:val="24"/>
          <w:szCs w:val="24"/>
          <w:highlight w:val="yellow"/>
        </w:rPr>
        <w:t xml:space="preserve">(verificar en el texto original el porcentaje de 44 % consignado en la versión anterior)</w:t>
      </w:r>
      <w:r>
        <w:rPr>
          <w:rFonts w:ascii="Arial" w:cs="Arial" w:eastAsia="Arial" w:hAnsi="Arial"/>
          <w:sz w:val="24"/>
          <w:szCs w:val="24"/>
        </w:rPr>
        <w:t xml:space="preserve">.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Torres Mendoza [12] y Asencios [13] implementaron sistemas web para el control de citas en servicios odontológicos; Coronado Mendoza y Cavero Álvarez [14] reportaron mejoras en la reserva de citas del Centro de Salud Cruz de Motupe tras implementar una plataforma web; y Cuya Camacho [15], bajo un diseño preexperimental, documentó reducciones considerables en los tiempos de búsqueda, procesamiento y generación de información en un establecimiento de salud de Villa El Salvador. En el terreno de los agentes conversacionales, Bacilio Ruiz [16]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[17],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[18]–[20],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[21].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[21].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lo expuesto, se formuló el siguiente problema general: ¿cómo influye un sistema web con chatbot en la gestión de pacientes de una fundación oncológica privada de Lima, 2026? De él se derivaron tres problemas específicos. El primero fue ¿cómo influye un sistema web con chatbot en el tiempo promedio de registro de pacientes de una fundación oncológica privada de Lima, 2026? El segundo, ¿cómo influye un sistema web con chatbot en la tasa de ausentismo a las citas médicas de una fundación oncológica privada de Lima, 2026? Y el tercero, ¿cómo influye un sistema web con chatbot en el nivel de consultas atendidas de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[22] y del modelo de éxito de los sistemas de información [23]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[18], [19],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el problema planteado, el objetivo general de la investigación fue determinar la influencia de un sistema web con chatbot en la gestión de pacientes de una fundación oncológica privada de Lima, 2026. Los objetivos específicos que guiaron el estudio fueron determinar la influencia del sistema web con chatbot en el tiempo promedio de registro de pacientes; determinar su influencia en la tasa de ausentismo a las citas médicas; y determinar su influencia en el nivel de consultas atendidas, en todos los casos en la misma institución y periodo.</w:t>
      </w:r>
    </w:p>
    <w:p>
      <w:pPr>
        <w:spacing w:after="120" w:before="0" w:line="360"/>
        <w:jc w:val="both"/>
      </w:pPr>
      <w:r>
        <w:rPr>
          <w:rFonts w:ascii="Arial" w:cs="Arial" w:eastAsia="Arial" w:hAnsi="Arial"/>
          <w:sz w:val="24"/>
          <w:szCs w:val="24"/>
        </w:rPr>
        <w:t xml:space="preserve">La revisión de la literatura permitió identificar antecedentes internacionales que abordaron, desde distintos ángulos, el objeto de estudio. Unlu et al. [19]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Para responder a ello,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guarda una relación directa con la presente investigación, tanto por el uso de un agente conversacional para descargar consultas administrativas como por el diseño de evaluación pre-post que ambos estudios comparten.</w:t>
      </w:r>
    </w:p>
    <w:p>
      <w:pPr>
        <w:spacing w:after="120" w:before="0" w:line="360"/>
        <w:jc w:val="both"/>
      </w:pPr>
      <w:r>
        <w:rPr>
          <w:rFonts w:ascii="Arial" w:cs="Arial" w:eastAsia="Arial" w:hAnsi="Arial"/>
          <w:sz w:val="24"/>
          <w:szCs w:val="24"/>
        </w:rPr>
        <w:t xml:space="preserve">Singh et al. [24] examinaron, mediante un estudio transversal, la satisfacción de los usuarios con un chatbot de orientación sobre COVID-19 implementado por un sistema de salud estadounidense. Según </w:t>
      </w:r>
      <w:r>
        <w:rPr>
          <w:rFonts w:ascii="Arial" w:cs="Arial" w:eastAsia="Arial" w:hAnsi="Arial"/>
          <w:sz w:val="24"/>
          <w:szCs w:val="24"/>
          <w:highlight w:val="yellow"/>
        </w:rPr>
        <w:t xml:space="preserve">la versión anterior del documento (verificar en el artículo)</w:t>
      </w:r>
      <w:r>
        <w:rPr>
          <w:rFonts w:ascii="Arial" w:cs="Arial" w:eastAsia="Arial" w:hAnsi="Arial"/>
          <w:sz w:val="24"/>
          <w:szCs w:val="24"/>
        </w:rPr>
        <w:t xml:space="preserve">, el análisis comprendió 82 222 interacciones, y los usuarios con perfiles de mayor riesgo, como los adultos mayores, mostraron mayor probabilidad de valorar positivamente la herramienta. Los autores concluyeron que los chatbots orientados a grupos de riesgo, y que proponen acciones concretas de seguimiento, son percibidos como una vía útil de primer contacto con el sistema de salud antes de la atención presencial o virtual. Este resultado resultó pertinente para una población como la oncológica, en la que predominan pacientes de edad avanzada y con necesidades de seguimiento frecuentes.</w:t>
      </w:r>
    </w:p>
    <w:p>
      <w:pPr>
        <w:spacing w:after="120" w:before="0" w:line="360"/>
        <w:jc w:val="both"/>
      </w:pPr>
      <w:r>
        <w:rPr>
          <w:rFonts w:ascii="Arial" w:cs="Arial" w:eastAsia="Arial" w:hAnsi="Arial"/>
          <w:sz w:val="24"/>
          <w:szCs w:val="24"/>
        </w:rPr>
        <w:t xml:space="preserve">Woodcock et al. [18] analizaron, en un estudio de caso cuantitativo de una organización médica comunitaria de Estados Unidos, cerca de dos millones de citas para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La escala del estudio otorgó solidez a la asociación entre automatización del agendamiento y reducción del ausentismo, indicador que también se evaluó en la presente investigación.</w:t>
      </w:r>
    </w:p>
    <w:p>
      <w:pPr>
        <w:spacing w:after="120" w:before="0" w:line="360"/>
        <w:jc w:val="both"/>
      </w:pPr>
      <w:r>
        <w:rPr>
          <w:rFonts w:ascii="Arial" w:cs="Arial" w:eastAsia="Arial" w:hAnsi="Arial"/>
          <w:sz w:val="24"/>
          <w:szCs w:val="24"/>
        </w:rPr>
        <w:t xml:space="preserve">En el ámbito específicamente oncológico, Daly et al. [20] implementaron un programa digital de gestión de la transición al alta para pacientes de oncología médica, basado en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y ponía en evidencia una carga sintomática considerable en esta población. El hallazgo aportó a la presente investigación un indicio de que los pacientes oncológicos aceptan y utilizan canales digitales de comunicación con la institución.</w:t>
      </w:r>
    </w:p>
    <w:p>
      <w:pPr>
        <w:spacing w:after="120" w:before="0" w:line="360"/>
        <w:jc w:val="both"/>
      </w:pPr>
      <w:r>
        <w:rPr>
          <w:rFonts w:ascii="Arial" w:cs="Arial" w:eastAsia="Arial" w:hAnsi="Arial"/>
          <w:sz w:val="24"/>
          <w:szCs w:val="24"/>
        </w:rPr>
        <w:t xml:space="preserve">Kurniawan et al. [5] desarrollaron una revisión sistemática sobre intervenciones con chatbots basados en inteligencia artificial para el manejo de enfermedades crónicas y concluyeron que estas herramientas favorecieron la adherencia terapéutica y el seguimiento continuo, principalmente mediante recordatorios automatizados. Wah [7], por su parte, sintetizó mediante análisis temático la evidencia de 29 estudios seleccionados de un total de 116 y organizó los hallazgos en cuatro ejes: aplicaciones de la inteligencia artificial, avances técnicos, adopción por parte de los usuarios y desafíos éticos. Reportó beneficios en reingresos, compromiso del paciente y tiempos de espera, aunque advirtió que la confianza, la seguridad de los datos y la integración con los sistemas existentes seguían siendo barreras para su adopción. Wang et al. [6] completaron este panorama desde la oncología, al documentar el uso de chatbots en distintas etapas de la atención del paciente con cáncer y su contribución a la satisfacción y la comunicación. En conjunto, estos tres trabajos mostraron que los beneficios dependen tanto de la tecnología como de su integración en los procesos de la institución.</w:t>
      </w:r>
    </w:p>
    <w:p>
      <w:pPr>
        <w:spacing w:after="120" w:before="0" w:line="360"/>
        <w:jc w:val="both"/>
      </w:pPr>
      <w:r>
        <w:rPr>
          <w:rFonts w:ascii="Arial" w:cs="Arial" w:eastAsia="Arial" w:hAnsi="Arial"/>
          <w:sz w:val="24"/>
          <w:szCs w:val="24"/>
        </w:rPr>
        <w:t xml:space="preserve">En el contexto nacional, Huapaya-Huertas et al. [25]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 Salinas Santiago et al. [26], a su vez, implementaron un chatbot inteligente para la gestión de mesas de ayuda y reportaron una resolución más rápida de las consultas y una percepción más favorable de los usuarios, resultado que respaldó la pertinencia del chatbot como canal de atención de consultas administrativas.</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[22],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Silverte et al. [28] confirmaron la relación entre facilidad de uso percibida y actitud favorable en estudiantes dominicanos, y Calle-Díaz et al. [29] lo aplicaron al estudio de la difusión de contenidos digitales en universitarios.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[23],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una herramienta que mantiene conversaciones con los usuarios mediante texto o voz [33]. Estos agentes evolucionaron desde modelos basados en reglas hacia soluciones sustentadas en inteligencia artificial generativa, capaces de comprender mejor el contexto y de producir respuestas más naturales [34]. La incorporación del procesamiento de lenguaje natural y del aprendizaje automático mejoró la precisión de las respuestas y la eficiencia de la interacción [35], mientras que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[18];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[18], los recordatorios con una mejor adherencia [5] y los chatbots con una menor carga de consultas sobre el personal [7], [19], se planteó como hipótesis general que el sistema web con chatbot mejora significativamente la gestión de pacientes de una fundación oncológica privada de Lima, 2026. Las hipótesis específicas fueron tres: el sistema web con chatbot reduce significativamente el tiempo promedio de registro de pacientes; reduce significativamente la tasa de ausentismo a las citas médicas; e incrementa significativamente el nivel de consultas atendidas, en todos los casos en la institución y el periodo de estudio.</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precisan que la investigación aplicada se distingue de la básica porque transforma el conocimiento acumulado en productos, procesos o sistemas que atienden necesidades de un contexto determinado, lo que la hace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representa como G: O1 – X – O2, donde O1 corresponde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setiembre y octubre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 un agente conversacional capaz de interactuar con los usuarios en tiempo real [33], [34].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las tres dimensiones descritas y medida mediante tres indicadores de escala de razón. El tiempo promedio de registro (TPR) se calculó como la suma de los tiempos de cada registro dividida entre el número de registros, expresada en minutos, desde que el personal inicia el ingreso de los datos del paciente hasta que estos quedan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presenta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señala que la población debe delimitarse según criterios temporales y contextuales que permitan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2 y el 30 de setiembre de 2026, y en 13 sesiones durante el postest, entre el 2 y el 30 de octubre de 2026, en ambos casos los lunes, miércoles y viernes. </w:t>
      </w:r>
      <w:r>
        <w:rPr>
          <w:rFonts w:ascii="Arial" w:cs="Arial" w:eastAsia="Arial" w:hAnsi="Arial"/>
          <w:sz w:val="24"/>
          <w:szCs w:val="24"/>
          <w:highlight w:val="yellow"/>
        </w:rPr>
        <w:t xml:space="preserve">Confirmar criterio de emparejamiento de sesiones: por orden cronológico o por día de la semana (ver hallazgo X1 de la auditoría).</w:t>
      </w:r>
      <w:r>
        <w:rPr>
          <w:rFonts w:ascii="Arial" w:cs="Arial" w:eastAsia="Arial" w:hAnsi="Arial"/>
          <w:sz w:val="24"/>
          <w:szCs w:val="24"/>
        </w:rPr>
        <w:t xml:space="preserve"> El calendario de sesiones y el detalle de la decisión muestral se presentan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Ambos instrumentos se presentan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incluyen en el Anexo 3. Dado que los instrumentos registran eventos objetivos y no ítems de percepción, no correspondió calcular coeficientes de consistencia interna; la confiabilidad de la medición se resguardó mediante definiciones operacionales explícitas, la aplicación de un piloto previo y el contraste de los tiempos manuales con los registros del sistema.</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menor TPR y menor TA en el postest, y mayor NCA en el postest.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[17].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permiten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H0, el sistema web con chatbot no reduce el tiempo promedio de registro; H1, el sistema web con chatbot reduce significativamente el tiempo promedio de registro.</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H0, el sistema web con chatbot no reduce el tasa de ausentismo; H2, el sistema web con chatbot reduce significativamente el tasa de ausentismo.</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H0, el sistema web con chatbot no incrementa el nivel de consultas atendidas; H3, el sistema web con chatbot incrementa significativamente el nivel de consultas atendidas.</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M. A. Torres Mendoza, "Sistema web para el control de citas médicas del Consultorio Odontológico Kitty Dent, Lima, 2023,"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Asencios O., "Sistema web para el control de citas médicas en el Departamento de Odontología en la Clínica Villa Salud," Tesis de pregrado, Univ. César Vallejo, Lima, Perú, 2022.</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J. A. Coronado Mendoza y O. S. Cavero Alvarez, "Implementación de un sistema web para mejorar la reserva de citas médicas en el Centro de Salud Cruz de Motupe," Tesis de pregrado, Univ. Tecnológica del Perú, Lima, Perú, 2023.</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J. Salinas Santiago, W. F. García Gutiérrez, A. B. Ordoñez Reyes, y A. C. Mendoza de los Santos, "Implementación de un chatbot inteligente en la gestión de las mesas de ayuda," Rev. Cient. Biotech Eng., vol. 4, no. 1, 2024.</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D. Calle-Díaz, F. L. Porras-Cruz, y E. J. Santamaría-Freire, "Modelo de aceptación tecnológica y la difusión de contenidos en estudiantes universitarios," MQRInvestigar, vol. 8, no. 4, pp. 5685–5705, 2024.</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D. A. Moposita Llugsa y J. E. Jordán Vaca, "Chatbot una herramienta de atención al cliente en tiempos de COVID-19: un acercamiento teórico," Uniandes Episteme, vol. 9, no. 3, pp. 327–350, 2022.</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F. Pareja-Arredondo, J. Carrasco-Taipe, y M. Aquino-Cruz, "Revisión sistemática de la evolución de los asistentes virtuales: desde los primeros chatbots hasta la IA conversacional," Rev. Micaela, vol. 5, no. 1, pp. 33–39, 2024.</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N. R. Bravo Maruri, A. G. Ramírez Reina, F. R. Orozco Lara, y M. P. Espinoza Martínez, "Automatización del soporte al cliente mediante un chatbot con IA integrado al CRM: caso de estudio empresa EDITRATECH," GADE Rev. Cient., vol. 5, no. 3, pp. 206–219, 2025.</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[34].</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Instrumento_v2_PRE_POST.xlsx,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en la gestión de pacientes de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setiembre y octubre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su orden cronológico.</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30/10/2026 (vie)</w:t>
            </w:r>
          </w:p>
        </w:tc>
      </w:tr>
    </w:tbl>
    <w:p>
      <w:pPr>
        <w:spacing w:after="120" w:before="120" w:line="360"/>
        <w:jc w:val="both"/>
      </w:pPr>
      <w:r>
        <w:rPr>
          <w:rFonts w:ascii="Arial" w:cs="Arial" w:eastAsia="Arial" w:hAnsi="Arial"/>
          <w:sz w:val="24"/>
          <w:szCs w:val="24"/>
          <w:highlight w:val="yellow"/>
        </w:rPr>
        <w:t xml:space="preserve">Si se decide emparejar por día de la semana, actualizar esta tabla y el párrafo correspondiente de la metodología.</w:t>
      </w:r>
    </w:p>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500"/>
        <w:gridCol w:w="2000"/>
        <w:gridCol w:w="1600"/>
        <w:gridCol w:w="15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Variables</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Dimensiones</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Población y muestra</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Tipo y diseño de investigación</w:t>
            </w:r>
          </w:p>
        </w:tc>
        <w:tc>
          <w:tcPr>
            <w:tcW w:type="dxa" w:w="15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PG: ¿Cómo influye un sistema web con chatbot en la gestión de pacientes de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OG: Determinar la influencia de un sistema web con chatbot en la gestión de pacientes de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HG: El sistema web con chatbot mejora significativamente la gestión de pacientes de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VI: Sistema web con chatbot</w:t>
            </w:r>
          </w:p>
          <w:p>
            <w:pPr>
              <w:spacing w:after="20"/>
              <w:jc w:val="left"/>
            </w:pPr>
            <w:r>
              <w:rPr>
                <w:rFonts w:ascii="Arial" w:cs="Arial" w:eastAsia="Arial" w:hAnsi="Arial"/>
                <w:b w:val="false"/>
                <w:bCs w:val="false"/>
                <w:sz w:val="16"/>
                <w:szCs w:val="16"/>
              </w:rPr>
              <w:t xml:space="preserve">VD: Gestión de pacientes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 agendamiento de citas médicas; eficacia de la atención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Población: procesos de registro, citas y consultas del periodo de estudio.</w:t>
            </w:r>
          </w:p>
          <w:p>
            <w:pPr>
              <w:spacing w:after="20"/>
              <w:jc w:val="left"/>
            </w:pPr>
            <w:r>
              <w:rPr>
                <w:rFonts w:ascii="Arial" w:cs="Arial" w:eastAsia="Arial" w:hAnsi="Arial"/>
                <w:b w:val="false"/>
                <w:bCs w:val="false"/>
                <w:sz w:val="16"/>
                <w:szCs w:val="16"/>
              </w:rPr>
              <w:t xml:space="preserve">Población accesible: 32 pacientes activos.</w:t>
            </w:r>
          </w:p>
          <w:p>
            <w:pPr>
              <w:spacing w:after="20"/>
              <w:jc w:val="left"/>
            </w:pPr>
            <w:r>
              <w:rPr>
                <w:rFonts w:ascii="Arial" w:cs="Arial" w:eastAsia="Arial" w:hAnsi="Arial"/>
                <w:b w:val="false"/>
                <w:bCs w:val="false"/>
                <w:sz w:val="16"/>
                <w:szCs w:val="16"/>
              </w:rPr>
              <w:t xml:space="preserve">Muestra de referencia: 30 pacientes.</w:t>
            </w:r>
          </w:p>
          <w:p>
            <w:pPr>
              <w:spacing w:after="20"/>
              <w:jc w:val="left"/>
            </w:pPr>
            <w:r>
              <w:rPr>
                <w:rFonts w:ascii="Arial" w:cs="Arial" w:eastAsia="Arial" w:hAnsi="Arial"/>
                <w:b w:val="false"/>
                <w:bCs w:val="false"/>
                <w:sz w:val="16"/>
                <w:szCs w:val="16"/>
              </w:rPr>
              <w:t xml:space="preserve">Muestreo: no probabilístico por conveniencia.</w:t>
            </w:r>
          </w:p>
          <w:p>
            <w:pPr>
              <w:spacing w:after="20"/>
              <w:jc w:val="left"/>
            </w:pPr>
            <w:r>
              <w:rPr>
                <w:rFonts w:ascii="Arial" w:cs="Arial" w:eastAsia="Arial" w:hAnsi="Arial"/>
                <w:b w:val="false"/>
                <w:bCs w:val="false"/>
                <w:sz w:val="16"/>
                <w:szCs w:val="16"/>
              </w:rPr>
              <w:t xml:space="preserve">Comparación: 13 sesiones pretest y 13 postest.</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Tipo: aplicada.</w:t>
            </w:r>
          </w:p>
          <w:p>
            <w:pPr>
              <w:spacing w:after="20"/>
              <w:jc w:val="left"/>
            </w:pPr>
            <w:r>
              <w:rPr>
                <w:rFonts w:ascii="Arial" w:cs="Arial" w:eastAsia="Arial" w:hAnsi="Arial"/>
                <w:b w:val="false"/>
                <w:bCs w:val="false"/>
                <w:sz w:val="16"/>
                <w:szCs w:val="16"/>
              </w:rPr>
              <w:t xml:space="preserve">Enfoque: cuantitativo.</w:t>
            </w:r>
          </w:p>
          <w:p>
            <w:pPr>
              <w:spacing w:after="20"/>
              <w:jc w:val="left"/>
            </w:pPr>
            <w:r>
              <w:rPr>
                <w:rFonts w:ascii="Arial" w:cs="Arial" w:eastAsia="Arial" w:hAnsi="Arial"/>
                <w:b w:val="false"/>
                <w:bCs w:val="false"/>
                <w:sz w:val="16"/>
                <w:szCs w:val="16"/>
              </w:rPr>
              <w:t xml:space="preserve">Diseño: preexperimental con preprueba y posprueba en un solo grupo.</w:t>
            </w:r>
          </w:p>
          <w:p>
            <w:pPr>
              <w:spacing w:after="20"/>
              <w:jc w:val="left"/>
            </w:pPr>
            <w:r>
              <w:rPr>
                <w:rFonts w:ascii="Arial" w:cs="Arial" w:eastAsia="Arial" w:hAnsi="Arial"/>
                <w:b w:val="false"/>
                <w:bCs w:val="false"/>
                <w:sz w:val="16"/>
                <w:szCs w:val="16"/>
              </w:rPr>
              <w:t xml:space="preserve">Alcance: explicativo.</w:t>
            </w: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Técnicas: observación estructurada y análisis documental.</w:t>
            </w:r>
          </w:p>
          <w:p>
            <w:pPr>
              <w:spacing w:after="20"/>
              <w:jc w:val="left"/>
            </w:pPr>
            <w:r>
              <w:rPr>
                <w:rFonts w:ascii="Arial" w:cs="Arial" w:eastAsia="Arial" w:hAnsi="Arial"/>
                <w:b w:val="false"/>
                <w:bCs w:val="false"/>
                <w:sz w:val="16"/>
                <w:szCs w:val="16"/>
              </w:rPr>
              <w:t xml:space="preserve">Instrumentos: ficha de registro de tiempos y ficha de registro de gestión de pacientes.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PE1: ¿Cómo influye un sistema web con chatbot en el tiempo promedio de registro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OE1: Determinar la influencia del sistema web con chatbot en el tiempo promedio de registro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HE1: El sistema web con chatbot reduce significativamente el tiempo promedio de registro de pacientes…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 (TPR)</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PE2: ¿Cómo influye un sistema web con chatbot en la tasa de ausentismo a las citas médicas…?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OE2: Determinar la influencia del sistema web con chatbot en la tasa de ausentismo a las citas médicas…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HE2: El sistema web con chatbot reduce significativamente la tasa de ausentismo a las citas médicas…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Agendamiento de citas médicas (TA)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PE3: ¿Cómo influye un sistema web con chatbot en el nivel de consultas atendidas…?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OE3: Determinar la influencia del sistema web con chatbot en el nivel de consultas atendidas…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HE3: El sistema web con chatbot incrementa significativamente el nivel de consultas atendidas…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Eficacia de la atención (NCA)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2026-09-26T21:16:01.176Z</dcterms:created>
  <dcterms:modified xsi:type="dcterms:W3CDTF">2026-09-26T21:16:01.179Z</dcterms:modified>
</cp:coreProperties>
</file>

<file path=docProps/custom.xml><?xml version="1.0" encoding="utf-8"?>
<Properties xmlns="http://schemas.openxmlformats.org/officeDocument/2006/custom-properties" xmlns:vt="http://schemas.openxmlformats.org/officeDocument/2006/docPropsVTypes"/>
</file>