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28"/>
          <w:szCs w:val="28"/>
        </w:rPr>
        <w:t xml:space="preserve">Notas de adecuación del informe de tesis (versión 2)</w:t>
      </w:r>
    </w:p>
    <w:p>
      <w:pPr>
        <w:spacing w:after="200"/>
        <w:jc w:val="center"/>
      </w:pPr>
      <w:r>
        <w:rPr>
          <w:rFonts w:ascii="Arial" w:cs="Arial" w:eastAsia="Arial" w:hAnsi="Arial"/>
          <w:color w:val="555555"/>
          <w:sz w:val="19"/>
          <w:szCs w:val="19"/>
        </w:rPr>
        <w:t xml:space="preserve">Acompaña a Informe_Tesis_ARNAO_DAVILA_v2.docx · 26/09/2026</w:t>
      </w:r>
    </w:p>
    <w:p>
      <w:pPr>
        <w:pStyle w:val="Heading1"/>
        <w:spacing w:after="120" w:before="220"/>
      </w:pPr>
      <w:r>
        <w:rPr>
          <w:rFonts w:ascii="Arial" w:cs="Arial" w:eastAsia="Arial" w:hAnsi="Arial"/>
          <w:b/>
          <w:bCs/>
          <w:color w:val="1F3864"/>
          <w:sz w:val="25"/>
          <w:szCs w:val="25"/>
        </w:rPr>
        <w:t xml:space="preserve">1. Base utilizada</w:t>
      </w:r>
    </w:p>
    <w:p>
      <w:pPr>
        <w:spacing w:after="100" w:line="290"/>
        <w:jc w:val="both"/>
      </w:pPr>
      <w:r>
        <w:rPr>
          <w:rFonts w:ascii="Arial" w:cs="Arial" w:eastAsia="Arial" w:hAnsi="Arial"/>
          <w:sz w:val="21"/>
          <w:szCs w:val="21"/>
        </w:rPr>
        <w:t xml:space="preserve">El informe se reconstruyó sobre el esquema 5.2.2 (informe de tesis) de la Guía PP-G-02.02 versión 07, con el formato del numeral 4.1 (A4, Arial 12, interlineado 1,5, márgenes de 2,54 cm), numeración romana en los preliminares desde ii, arábiga desde la Introducción hasta las Referencias y anexos sin numeración. Las referencias se tomaron de la versión FINAL (Investigación I) y se corrigieron o ampliaron según la auditoría. Los textos marcados en </w:t>
      </w:r>
      <w:r>
        <w:rPr>
          <w:rFonts w:ascii="Arial" w:cs="Arial" w:eastAsia="Arial" w:hAnsi="Arial"/>
          <w:b/>
          <w:bCs/>
          <w:sz w:val="21"/>
          <w:szCs w:val="21"/>
        </w:rPr>
        <w:t xml:space="preserve">amarillo</w:t>
      </w:r>
      <w:r>
        <w:rPr>
          <w:rFonts w:ascii="Arial" w:cs="Arial" w:eastAsia="Arial" w:hAnsi="Arial"/>
          <w:sz w:val="21"/>
          <w:szCs w:val="21"/>
        </w:rPr>
        <w:t xml:space="preserve"> dentro del informe son datos que solo ustedes pueden aportar o verificar.</w:t>
      </w:r>
    </w:p>
    <w:p>
      <w:pPr>
        <w:pStyle w:val="Heading1"/>
        <w:spacing w:after="120" w:before="220"/>
      </w:pPr>
      <w:r>
        <w:rPr>
          <w:rFonts w:ascii="Arial" w:cs="Arial" w:eastAsia="Arial" w:hAnsi="Arial"/>
          <w:b/>
          <w:bCs/>
          <w:color w:val="1F3864"/>
          <w:sz w:val="25"/>
          <w:szCs w:val="25"/>
        </w:rPr>
        <w:t xml:space="preserve">2. Cambios principales respecto de la versión anterior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sz w:val="17"/>
                <w:szCs w:val="17"/>
              </w:rPr>
              <w:t xml:space="preserve">Sección</w:t>
            </w:r>
          </w:p>
        </w:tc>
        <w:tc>
          <w:tcPr>
            <w:tcW w:type="dxa" w:w="7026"/>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sz w:val="17"/>
                <w:szCs w:val="17"/>
              </w:rPr>
              <w:t xml:space="preserve">Cambio</w:t>
            </w:r>
          </w:p>
        </w:tc>
      </w:tr>
      <w:tr>
        <w:trPr>
          <w:tblHeader w:val="false"/>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Carátula</w:t>
            </w:r>
          </w:p>
        </w:tc>
        <w:tc>
          <w:tcPr>
            <w:tcW w:type="dxa" w:w="7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Asesor actualizado (Mgtr. Pérez Farfán, Iván Martín, ORCID de la versión FINAL); formato de carátula de informe de tesis; autores con el formato "Apellidos, Nombres".</w:t>
            </w:r>
          </w:p>
        </w:tc>
      </w:tr>
      <w:tr>
        <w:trPr>
          <w:tblHeader w:val="false"/>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Introducción</w:t>
            </w:r>
          </w:p>
        </w:tc>
        <w:tc>
          <w:tcPr>
            <w:tcW w:type="dxa" w:w="7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Reescrita en prosa sin subtítulos y en el orden de la guía: realidad problemática internacional, nacional y local; ODS 3 (meta 3.8) y ODS 9 (meta 9.5); problemas; justificación teórica, práctica y metodológica (en presente); objetivos; antecedentes (7 internacionales y 2 nacionales en artículos); teorías y enfoques conceptuales; hipótesis. Unas 3 700 palabras (≈ 10–11 páginas).</w:t>
            </w:r>
          </w:p>
        </w:tc>
      </w:tr>
      <w:tr>
        <w:trPr>
          <w:tblHeader w:val="false"/>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Teorías</w:t>
            </w:r>
          </w:p>
        </w:tc>
        <w:tc>
          <w:tcPr>
            <w:tcW w:type="dxa" w:w="7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TAM completado (utilidad y facilidad de uso percibidas) con la fuente original de Davis; la "teoría de sistemas de información en salud" se reemplazó por el modelo de éxito de DeLone y McLean; la comunicación en salud se presenta como enfoque, no como teoría sin autor.</w:t>
            </w:r>
          </w:p>
        </w:tc>
      </w:tr>
      <w:tr>
        <w:trPr>
          <w:tblHeader w:val="false"/>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Hipótesis</w:t>
            </w:r>
          </w:p>
        </w:tc>
        <w:tc>
          <w:tcPr>
            <w:tcW w:type="dxa" w:w="7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Direcciones precisas: reduce el TPR, reduce la TA, incrementa el NCA; H0/H1 estadísticas incorporadas en la metodología y en los resultados.</w:t>
            </w:r>
          </w:p>
        </w:tc>
      </w:tr>
      <w:tr>
        <w:trPr>
          <w:tblHeader w:val="false"/>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Metodología</w:t>
            </w:r>
          </w:p>
        </w:tc>
        <w:tc>
          <w:tcPr>
            <w:tcW w:type="dxa" w:w="7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En pasado y en prosa, con las seis secciones de la guía; integra el Paso 1 (población = procesos, unidad de análisis por indicador, 13 + 13 sesiones), esquema del diseño, amenazas a la validez, criterio simétrico del NCA, regla para pares incompletos, pruebas unilaterales y tamaño del efecto; se eliminó el asentimiento informado.</w:t>
            </w:r>
          </w:p>
        </w:tc>
      </w:tr>
      <w:tr>
        <w:trPr>
          <w:tblHeader w:val="false"/>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Resultados a Recomendaciones</w:t>
            </w:r>
          </w:p>
        </w:tc>
        <w:tc>
          <w:tcPr>
            <w:tcW w:type="dxa" w:w="7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Estructura lista (10 tablas vacías en el orden de los objetivos) sin ningún dato inventado.</w:t>
            </w:r>
          </w:p>
        </w:tc>
      </w:tr>
      <w:tr>
        <w:trPr>
          <w:tblHeader w:val="false"/>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Anexos</w:t>
            </w:r>
          </w:p>
        </w:tc>
        <w:tc>
          <w:tcPr>
            <w:tcW w:type="dxa" w:w="7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Reordenados según el numeral 4.5.6: operacionalización, instrumentos, validación (3 jueces), consentimiento, solicitud y autorización, análisis complementario con calendario de sesiones, evidencias, matriz de consistencia y Turnitin.</w:t>
            </w:r>
          </w:p>
        </w:tc>
      </w:tr>
      <w:tr>
        <w:trPr>
          <w:tblHeader w:val="false"/>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Referencias</w:t>
            </w:r>
          </w:p>
        </w:tc>
        <w:tc>
          <w:tcPr>
            <w:tcW w:type="dxa" w:w="7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43 referencias numeradas automáticamente por orden de aparición IEEE; todas citadas en el texto.</w:t>
            </w:r>
          </w:p>
        </w:tc>
      </w:tr>
    </w:tbl>
    <w:p>
      <w:pPr>
        <w:pStyle w:val="Heading1"/>
        <w:spacing w:after="120" w:before="220"/>
      </w:pPr>
      <w:r>
        <w:rPr>
          <w:rFonts w:ascii="Arial" w:cs="Arial" w:eastAsia="Arial" w:hAnsi="Arial"/>
          <w:b/>
          <w:bCs/>
          <w:color w:val="1F3864"/>
          <w:sz w:val="25"/>
          <w:szCs w:val="25"/>
        </w:rPr>
        <w:t xml:space="preserve">3. Correcciones de referencias verificadas en línea</w:t>
      </w:r>
    </w:p>
    <w:p>
      <w:pPr>
        <w:pStyle w:val="ListParagraph"/>
        <w:numPr>
          <w:ilvl w:val="0"/>
          <w:numId w:val="2"/>
        </w:numPr>
        <w:spacing w:after="70" w:line="280"/>
      </w:pPr>
      <w:r>
        <w:rPr>
          <w:rFonts w:ascii="Arial" w:cs="Arial" w:eastAsia="Arial" w:hAnsi="Arial"/>
          <w:b/>
          <w:bCs/>
          <w:sz w:val="21"/>
          <w:szCs w:val="21"/>
        </w:rPr>
        <w:t xml:space="preserve">[20] Daly et al.</w:t>
      </w:r>
      <w:r>
        <w:rPr>
          <w:rFonts w:ascii="Arial" w:cs="Arial" w:eastAsia="Arial" w:hAnsi="Arial"/>
          <w:sz w:val="21"/>
          <w:szCs w:val="21"/>
        </w:rPr>
        <w:t xml:space="preserve"> El primer autor del artículo de JCO Oncology Practice es B. Daly, no "M. Mejía". Además, el 84 % corresponde a un índice de recomendación neta (net promoter score), no al "84 % de pacientes muy satisfechos". Se corrigieron la referencia y la redacción.</w:t>
      </w:r>
    </w:p>
    <w:p>
      <w:pPr>
        <w:pStyle w:val="ListParagraph"/>
        <w:numPr>
          <w:ilvl w:val="0"/>
          <w:numId w:val="2"/>
        </w:numPr>
        <w:spacing w:after="70" w:line="280"/>
      </w:pPr>
      <w:r>
        <w:rPr>
          <w:rFonts w:ascii="Arial" w:cs="Arial" w:eastAsia="Arial" w:hAnsi="Arial"/>
          <w:b/>
          <w:bCs/>
          <w:sz w:val="21"/>
          <w:szCs w:val="21"/>
        </w:rPr>
        <w:t xml:space="preserve">[19] Unlu et al.</w:t>
      </w:r>
      <w:r>
        <w:rPr>
          <w:rFonts w:ascii="Arial" w:cs="Arial" w:eastAsia="Arial" w:hAnsi="Arial"/>
          <w:sz w:val="21"/>
          <w:szCs w:val="21"/>
        </w:rPr>
        <w:t xml:space="preserve"> El artículo trata de un chatbot para orientar el retorno al trabajo del personal de Mass General Brigham durante la COVID-19. No pude confirmar las cifras "5 575 usuarios" ni "de 28 a 6 minutos", por lo que se retiraron; el antecedente se redactó solo con información verificada.</w:t>
      </w:r>
    </w:p>
    <w:p>
      <w:pPr>
        <w:pStyle w:val="ListParagraph"/>
        <w:numPr>
          <w:ilvl w:val="0"/>
          <w:numId w:val="2"/>
        </w:numPr>
        <w:spacing w:after="70" w:line="280"/>
      </w:pPr>
      <w:r>
        <w:rPr>
          <w:rFonts w:ascii="Arial" w:cs="Arial" w:eastAsia="Arial" w:hAnsi="Arial"/>
          <w:b/>
          <w:bCs/>
          <w:sz w:val="21"/>
          <w:szCs w:val="21"/>
        </w:rPr>
        <w:t xml:space="preserve">[24] Singh et al.</w:t>
      </w:r>
      <w:r>
        <w:rPr>
          <w:rFonts w:ascii="Arial" w:cs="Arial" w:eastAsia="Arial" w:hAnsi="Arial"/>
          <w:sz w:val="21"/>
          <w:szCs w:val="21"/>
        </w:rPr>
        <w:t xml:space="preserve"> La revista es JMIR mHealth and uHealth (vol. 11, e43105), no J. Med. Internet Res. Las cifras de 82 222 interacciones quedaron marcadas para verificar.</w:t>
      </w:r>
    </w:p>
    <w:p>
      <w:pPr>
        <w:pStyle w:val="ListParagraph"/>
        <w:numPr>
          <w:ilvl w:val="0"/>
          <w:numId w:val="2"/>
        </w:numPr>
        <w:spacing w:after="70" w:line="280"/>
      </w:pPr>
      <w:r>
        <w:rPr>
          <w:rFonts w:ascii="Arial" w:cs="Arial" w:eastAsia="Arial" w:hAnsi="Arial"/>
          <w:b/>
          <w:bCs/>
          <w:sz w:val="21"/>
          <w:szCs w:val="21"/>
        </w:rPr>
        <w:t xml:space="preserve">[7] Wah.</w:t>
      </w:r>
      <w:r>
        <w:rPr>
          <w:rFonts w:ascii="Arial" w:cs="Arial" w:eastAsia="Arial" w:hAnsi="Arial"/>
          <w:sz w:val="21"/>
          <w:szCs w:val="21"/>
        </w:rPr>
        <w:t xml:space="preserve"> El 30 % corresponde a "patient engagement" (compromiso del paciente), no a "responsabilidad"; los chatbots híbridos combinan IA con intervención humana. Se corrigió.</w:t>
      </w:r>
    </w:p>
    <w:p>
      <w:pPr>
        <w:pStyle w:val="ListParagraph"/>
        <w:numPr>
          <w:ilvl w:val="0"/>
          <w:numId w:val="2"/>
        </w:numPr>
        <w:spacing w:after="70" w:line="280"/>
      </w:pPr>
      <w:r>
        <w:rPr>
          <w:rFonts w:ascii="Arial" w:cs="Arial" w:eastAsia="Arial" w:hAnsi="Arial"/>
          <w:b/>
          <w:bCs/>
          <w:sz w:val="21"/>
          <w:szCs w:val="21"/>
        </w:rPr>
        <w:t xml:space="preserve">[10] Soto Asencios et al.</w:t>
      </w:r>
      <w:r>
        <w:rPr>
          <w:rFonts w:ascii="Arial" w:cs="Arial" w:eastAsia="Arial" w:hAnsi="Arial"/>
          <w:sz w:val="21"/>
          <w:szCs w:val="21"/>
        </w:rPr>
        <w:t xml:space="preserve"> Verificado: 2 963 ausentes frente a 12 125 asistentes (19,64 %) en el Hospital Nacional Daniel Alcides Carrión.</w:t>
      </w:r>
    </w:p>
    <w:p>
      <w:pPr>
        <w:pStyle w:val="ListParagraph"/>
        <w:numPr>
          <w:ilvl w:val="0"/>
          <w:numId w:val="2"/>
        </w:numPr>
        <w:spacing w:after="70" w:line="280"/>
      </w:pPr>
      <w:r>
        <w:rPr>
          <w:rFonts w:ascii="Arial" w:cs="Arial" w:eastAsia="Arial" w:hAnsi="Arial"/>
          <w:b/>
          <w:bCs/>
          <w:sz w:val="21"/>
          <w:szCs w:val="21"/>
        </w:rPr>
        <w:t xml:space="preserve">Eliminadas:</w:t>
      </w:r>
      <w:r>
        <w:rPr>
          <w:rFonts w:ascii="Arial" w:cs="Arial" w:eastAsia="Arial" w:hAnsi="Arial"/>
          <w:sz w:val="21"/>
          <w:szCs w:val="21"/>
        </w:rPr>
        <w:t xml:space="preserve"> Mohsen et al. (arXiv sobre riesgo de diabetes, sin relación con el agendamiento) y Valer (tesis sobre emergencia). </w:t>
      </w:r>
      <w:r>
        <w:rPr>
          <w:rFonts w:ascii="Arial" w:cs="Arial" w:eastAsia="Arial" w:hAnsi="Arial"/>
          <w:b/>
          <w:bCs/>
          <w:sz w:val="21"/>
          <w:szCs w:val="21"/>
        </w:rPr>
        <w:t xml:space="preserve">Añadidas:</w:t>
      </w:r>
      <w:r>
        <w:rPr>
          <w:rFonts w:ascii="Arial" w:cs="Arial" w:eastAsia="Arial" w:hAnsi="Arial"/>
          <w:sz w:val="21"/>
          <w:szCs w:val="21"/>
        </w:rPr>
        <w:t xml:space="preserve"> Davis (1989), DeLone y McLean (2003), Manual de Oslo (2018, exigido por la guía), Agenda 2030 (ONU), Ley N.° 29733, Escobar-Pérez y Cuervo-Martínez (2008, citados por la guía) y la propia guía UCV.</w:t>
      </w:r>
    </w:p>
    <w:p>
      <w:pPr>
        <w:pStyle w:val="Heading1"/>
        <w:spacing w:after="120" w:before="220"/>
      </w:pPr>
      <w:r>
        <w:rPr>
          <w:rFonts w:ascii="Arial" w:cs="Arial" w:eastAsia="Arial" w:hAnsi="Arial"/>
          <w:b/>
          <w:bCs/>
          <w:color w:val="1F3864"/>
          <w:sz w:val="25"/>
          <w:szCs w:val="25"/>
        </w:rPr>
        <w:t xml:space="preserve">4. Cumplimiento de la guía en referencias (revisar)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sz w:val="17"/>
                <w:szCs w:val="17"/>
              </w:rPr>
              <w:t xml:space="preserve">Requisito de la guía</w:t>
            </w:r>
          </w:p>
        </w:tc>
        <w:tc>
          <w:tcPr>
            <w:tcW w:type="dxa" w:w="5426"/>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sz w:val="17"/>
                <w:szCs w:val="17"/>
              </w:rPr>
              <w:t xml:space="preserve">Estado actual</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Mínimo 30 referencias</w:t>
            </w:r>
          </w:p>
        </w:tc>
        <w:tc>
          <w:tcPr>
            <w:tcW w:type="dxa" w:w="5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Cumple: 43.</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Al menos 30 % en idioma extranjero</w:t>
            </w:r>
          </w:p>
        </w:tc>
        <w:tc>
          <w:tcPr>
            <w:tcW w:type="dxa" w:w="5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Cumple: 16 de 43 (≈ 37 %).</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Al menos 70 % artículos indexados en Scopus, WoS o SciELO con SJR</w:t>
            </w:r>
          </w:p>
        </w:tc>
        <w:tc>
          <w:tcPr>
            <w:tcW w:type="dxa" w:w="5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bCs/>
                <w:sz w:val="17"/>
                <w:szCs w:val="17"/>
              </w:rPr>
              <w:t xml:space="preserve">Probablemente no cumple.</w:t>
            </w:r>
            <w:r>
              <w:rPr>
                <w:rFonts w:ascii="Arial" w:cs="Arial" w:eastAsia="Arial" w:hAnsi="Arial"/>
                <w:sz w:val="17"/>
                <w:szCs w:val="17"/>
              </w:rPr>
              <w:t xml:space="preserve"> Hay 30 artículos (≈ 70 %), pero varias revistas podrían no estar en SJR (Rev. Micaela, MQRInvestigar, GADE, Rev. Cient. Biotech Eng., Uniandes Episteme, Rev. Comun. Salud, Av. Medición). Además, 6 son tesis, 3 libros y 4 documentos oficiales. Hay que comprobar cada revista en Scimago y reemplazar las que no califiquen (Sesión 3).</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Al menos 6 antecedentes internacionales en artículos indexados</w:t>
            </w:r>
          </w:p>
        </w:tc>
        <w:tc>
          <w:tcPr>
            <w:tcW w:type="dxa" w:w="5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Cumple en número (Unlu, Singh, Woodcock, Daly, Kurniawan, Wah y Wang); conviene sumar más estudios empíricos con diseño pre–post.</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Prioridad a los últimos 5 años</w:t>
            </w:r>
          </w:p>
        </w:tc>
        <w:tc>
          <w:tcPr>
            <w:tcW w:type="dxa" w:w="5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Mayoritariamente sí; McMullen (2015), Otzen (2017), Davis (1989) y DeLone (2003) se justifican como antecedente similar o teorías fundamentales.</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Uso de gestor bibliográfico</w:t>
            </w:r>
          </w:p>
        </w:tc>
        <w:tc>
          <w:tcPr>
            <w:tcW w:type="dxa" w:w="5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Pendiente: importar la lista a Mendeley o Zotero.</w:t>
            </w:r>
          </w:p>
        </w:tc>
      </w:tr>
    </w:tbl>
    <w:p>
      <w:pPr>
        <w:pStyle w:val="Heading1"/>
        <w:spacing w:after="120" w:before="220"/>
      </w:pPr>
      <w:r>
        <w:rPr>
          <w:rFonts w:ascii="Arial" w:cs="Arial" w:eastAsia="Arial" w:hAnsi="Arial"/>
          <w:b/>
          <w:bCs/>
          <w:color w:val="1F3864"/>
          <w:sz w:val="25"/>
          <w:szCs w:val="25"/>
        </w:rPr>
        <w:t xml:space="preserve">5. Pendientes que requieren datos suyos (resaltados en el informe)</w:t>
      </w:r>
    </w:p>
    <w:p>
      <w:pPr>
        <w:pStyle w:val="ListParagraph"/>
        <w:numPr>
          <w:ilvl w:val="0"/>
          <w:numId w:val="2"/>
        </w:numPr>
        <w:spacing w:after="70" w:line="280"/>
      </w:pPr>
      <w:r>
        <w:rPr>
          <w:rFonts w:ascii="Arial" w:cs="Arial" w:eastAsia="Arial" w:hAnsi="Arial"/>
          <w:sz w:val="21"/>
          <w:szCs w:val="21"/>
        </w:rPr>
        <w:t xml:space="preserve">Fuente del 65 % de ausentismo (documento, periodo y número de citas).</w:t>
      </w:r>
    </w:p>
    <w:p>
      <w:pPr>
        <w:pStyle w:val="ListParagraph"/>
        <w:numPr>
          <w:ilvl w:val="0"/>
          <w:numId w:val="2"/>
        </w:numPr>
        <w:spacing w:after="70" w:line="280"/>
      </w:pPr>
      <w:r>
        <w:rPr>
          <w:rFonts w:ascii="Arial" w:cs="Arial" w:eastAsia="Arial" w:hAnsi="Arial"/>
          <w:sz w:val="21"/>
          <w:szCs w:val="21"/>
        </w:rPr>
        <w:t xml:space="preserve">Verificar en los originales: el 44 % de Alturbag y las cifras de Singh et al.</w:t>
      </w:r>
    </w:p>
    <w:p>
      <w:pPr>
        <w:pStyle w:val="ListParagraph"/>
        <w:numPr>
          <w:ilvl w:val="0"/>
          <w:numId w:val="2"/>
        </w:numPr>
        <w:spacing w:after="70" w:line="280"/>
      </w:pPr>
      <w:r>
        <w:rPr>
          <w:rFonts w:ascii="Arial" w:cs="Arial" w:eastAsia="Arial" w:hAnsi="Arial"/>
          <w:sz w:val="21"/>
          <w:szCs w:val="21"/>
        </w:rPr>
        <w:t xml:space="preserve">Arquitectura del sistema (frontend, backend, base de datos, canal de recordatorios) y metodología de desarrollo de software con su referencia.</w:t>
      </w:r>
    </w:p>
    <w:p>
      <w:pPr>
        <w:pStyle w:val="ListParagraph"/>
        <w:numPr>
          <w:ilvl w:val="0"/>
          <w:numId w:val="2"/>
        </w:numPr>
        <w:spacing w:after="70" w:line="280"/>
      </w:pPr>
      <w:r>
        <w:rPr>
          <w:rFonts w:ascii="Arial" w:cs="Arial" w:eastAsia="Arial" w:hAnsi="Arial"/>
          <w:sz w:val="21"/>
          <w:szCs w:val="21"/>
        </w:rPr>
        <w:t xml:space="preserve">Resultado de la validación por los tres jueces expertos (nombres, grados, calificaciones) y sus fichas firmadas con captura de SUNEDU.</w:t>
      </w:r>
    </w:p>
    <w:p>
      <w:pPr>
        <w:pStyle w:val="ListParagraph"/>
        <w:numPr>
          <w:ilvl w:val="0"/>
          <w:numId w:val="2"/>
        </w:numPr>
        <w:spacing w:after="70" w:line="280"/>
      </w:pPr>
      <w:r>
        <w:rPr>
          <w:rFonts w:ascii="Arial" w:cs="Arial" w:eastAsia="Arial" w:hAnsi="Arial"/>
          <w:sz w:val="21"/>
          <w:szCs w:val="21"/>
        </w:rPr>
        <w:t xml:space="preserve">Decisión de emparejamiento de sesiones (orden cronológico o día de la semana).</w:t>
      </w:r>
    </w:p>
    <w:p>
      <w:pPr>
        <w:pStyle w:val="ListParagraph"/>
        <w:numPr>
          <w:ilvl w:val="0"/>
          <w:numId w:val="2"/>
        </w:numPr>
        <w:spacing w:after="70" w:line="280"/>
      </w:pPr>
      <w:r>
        <w:rPr>
          <w:rFonts w:ascii="Arial" w:cs="Arial" w:eastAsia="Arial" w:hAnsi="Arial"/>
          <w:sz w:val="21"/>
          <w:szCs w:val="21"/>
        </w:rPr>
        <w:t xml:space="preserve">Herramientas de IA utilizadas como apoyo y su versión (numeral 4.4.3 de la guía).</w:t>
      </w:r>
    </w:p>
    <w:p>
      <w:pPr>
        <w:pStyle w:val="ListParagraph"/>
        <w:numPr>
          <w:ilvl w:val="0"/>
          <w:numId w:val="2"/>
        </w:numPr>
        <w:spacing w:after="70" w:line="280"/>
      </w:pPr>
      <w:r>
        <w:rPr>
          <w:rFonts w:ascii="Arial" w:cs="Arial" w:eastAsia="Arial" w:hAnsi="Arial"/>
          <w:sz w:val="21"/>
          <w:szCs w:val="21"/>
        </w:rPr>
        <w:t xml:space="preserve">Correos de investigadores y asesor, datos de la institución para las cartas, dedicatoria y agradecimiento.</w:t>
      </w:r>
    </w:p>
    <w:p>
      <w:pPr>
        <w:pStyle w:val="ListParagraph"/>
        <w:numPr>
          <w:ilvl w:val="0"/>
          <w:numId w:val="2"/>
        </w:numPr>
        <w:spacing w:after="70" w:line="280"/>
      </w:pPr>
      <w:r>
        <w:rPr>
          <w:rFonts w:ascii="Arial" w:cs="Arial" w:eastAsia="Arial" w:hAnsi="Arial"/>
          <w:sz w:val="21"/>
          <w:szCs w:val="21"/>
        </w:rPr>
        <w:t xml:space="preserve">Confirmar la línea de RSU y la denominación del título ("Ingeniero de Sistemas"/"Ingeniera de Sistemas").</w:t>
      </w:r>
    </w:p>
    <w:p>
      <w:pPr>
        <w:pStyle w:val="ListParagraph"/>
        <w:numPr>
          <w:ilvl w:val="0"/>
          <w:numId w:val="2"/>
        </w:numPr>
        <w:spacing w:after="70" w:line="280"/>
      </w:pPr>
      <w:r>
        <w:rPr>
          <w:rFonts w:ascii="Arial" w:cs="Arial" w:eastAsia="Arial" w:hAnsi="Arial"/>
          <w:sz w:val="21"/>
          <w:szCs w:val="21"/>
        </w:rPr>
        <w:t xml:space="preserve">Al abrir el archivo en Word, aceptar la actualización de campos para generar los índices de contenidos y de tablas con su paginación.</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2026-09-26T21:17:06.722Z</dcterms:created>
  <dcterms:modified xsi:type="dcterms:W3CDTF">2026-09-26T21:17:06.723Z</dcterms:modified>
</cp:coreProperties>
</file>

<file path=docProps/custom.xml><?xml version="1.0" encoding="utf-8"?>
<Properties xmlns="http://schemas.openxmlformats.org/officeDocument/2006/custom-properties" xmlns:vt="http://schemas.openxmlformats.org/officeDocument/2006/docPropsVTypes"/>
</file>