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El chatbot se limita a consultas administrativas, responde a partir de la información oficial de la fundación y deriva al personal las consultas que no puede resolver. </w:t>
      </w:r>
      <w:r>
        <w:rPr>
          <w:rFonts w:ascii="Arial" w:cs="Arial" w:eastAsia="Arial" w:hAnsi="Arial"/>
          <w:sz w:val="24"/>
          <w:szCs w:val="24"/>
          <w:highlight w:val="yellow"/>
        </w:rPr>
        <w:t xml:space="preserve">Completar la arquitectura: tecnologías de frontend, backend y base de datos, canal de envío de los recordatorios y versión de Gemini.</w:t>
      </w:r>
    </w:p>
    <w:p>
      <w:pPr>
        <w:spacing w:after="120" w:before="0" w:line="360"/>
        <w:jc w:val="both"/>
      </w:pPr>
      <w:r>
        <w:rPr>
          <w:rFonts w:ascii="Arial" w:cs="Arial" w:eastAsia="Arial" w:hAnsi="Arial"/>
          <w:sz w:val="24"/>
          <w:szCs w:val="24"/>
        </w:rPr>
        <w:t xml:space="preserve">Para su construcción se adoptó Scrum, un marco de trabajo ágil que organiza el desarrollo en iteraciones de duración fija, denominadas sprints, cada una de las cuales entrega un incremento utilizable del producto [36]. El marco define tres responsabilidades, que corresponden al dueño del producto, al Scrum Master y a los desarrolladores; cinco eventos, que son el sprint, su planificación, la reunión diaria, la revisión y la retrospectiva; y tres artefactos, la pila del producto, la pila del sprint y el incremento [36]. Se trata de un marco de uso extendido que los equipos suelen adaptar a sus condiciones, como mostró la revisión sistemática de Hron y Obwegeser [37] sobre 925 estudios. En el ámbito de los chatbots sanitarios, Unlu et al. [16] recurrieron a una metodología ágil para diseñar y desplegar con rapidez un agente conversacional institucional, experiencia que respalda la elección de un enfoque iterativo para un sistema que debía ajustarse a los procesos reales de la fundación. </w:t>
      </w:r>
      <w:r>
        <w:rPr>
          <w:rFonts w:ascii="Arial" w:cs="Arial" w:eastAsia="Arial" w:hAnsi="Arial"/>
          <w:sz w:val="24"/>
          <w:szCs w:val="24"/>
          <w:highlight w:val="yellow"/>
        </w:rPr>
        <w:t xml:space="preserve">Completar: número y duración de los sprints, fechas y asignación de roles.</w:t>
      </w:r>
      <w:r>
        <w:rPr>
          <w:rFonts w:ascii="Arial" w:cs="Arial" w:eastAsia="Arial" w:hAnsi="Arial"/>
          <w:sz w:val="24"/>
          <w:szCs w:val="24"/>
        </w:rPr>
        <w:t xml:space="preserve"> La documentación del desarrollo se presenta en el Anexo 8.</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[38]. Uribe Bohórquez et al. [39]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[40]. El diseño fue experimental, de tipo preexperimental, con preprueba y posprueba en un solo grupo [41];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agosto y setiembre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[42].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3 y el 31 de agosto de 2026, y en 13 sesiones durante el postest, entre el 2 y el 30 de setiembre de 2026, en ambos casos los lunes, miércoles y viernes. Para controlar la posible variación de la demanda según el día de la semana, las sesiones se emparejaron por día y por orden de aparición: el primer lunes del pretest con el primer lunes del postest, el primer miércoles con el primer miércoles, y así sucesivamente. De ese modo se formaron doce pares con el mismo día de la semana; el par restante unió la última sesión del pretest (lunes 31 de agosto) con la última del postest (miércoles 30 de setiembre).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[43], con una escala dicotómica de acuerdo o desacuerdo. El grado de acuerdo entre los jueces se cuantificó mediante el coeficiente V de Aiken [44], calculado por ítem y por criterio; dado que se contó con tres jueces, se consideró válido el ítem con V = 1,00, es decir, con acuerdo unánime, y se revisaron los ítems con valores menores según las observaciones recibidas. </w:t>
      </w:r>
      <w:r>
        <w:rPr>
          <w:rFonts w:ascii="Arial" w:cs="Arial" w:eastAsia="Arial" w:hAnsi="Arial"/>
          <w:sz w:val="24"/>
          <w:szCs w:val="24"/>
          <w:highlight w:val="yellow"/>
        </w:rPr>
        <w:t xml:space="preserve">Consignar el resultado: nombres, grados y especialidad de los tres jueces, fecha de la validación, V de Aiken por instrumento, ítems corregidos y opinión de aplicabilidad.</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reglas de registro comunes a ambas etapas y la revisión de la integridad de los datos antes del análisis.</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puso en funcionamiento el sistema web con chatbot, desarrollado bajo el marco Scrum, y se capacitó al personal en su uso </w:t>
      </w:r>
      <w:r>
        <w:rPr>
          <w:rFonts w:ascii="Arial" w:cs="Arial" w:eastAsia="Arial" w:hAnsi="Arial"/>
          <w:sz w:val="24"/>
          <w:szCs w:val="24"/>
          <w:highlight w:val="yellow"/>
        </w:rPr>
        <w:t xml:space="preserve">(precisar la fecha de puesta en funcionamiento y de la capacitación, entre el 31 de agosto y el 2 de setiembre de 2026)</w:t>
      </w:r>
      <w:r>
        <w:rPr>
          <w:rFonts w:ascii="Arial" w:cs="Arial" w:eastAsia="Arial" w:hAnsi="Arial"/>
          <w:sz w:val="24"/>
          <w:szCs w:val="24"/>
        </w:rPr>
        <w:t xml:space="preserve">.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Como análisis de sensibilidad, cada contraste se repitió excluyendo el par formado por sesiones de distinto día de la semana, a fin de verificar que la decisión de emparejamiento no alterara las conclusiones. La normalidad de las diferencias se evaluó con la prueba de Shapiro-Wilk, adecuada para muestras pequeñas; cuando se verificó normalidad se aplicó la prueba t de Student para muestras relacionadas y, en caso contrario, la prueba de rangos con signo de Wilcoxon [40].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[45].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K. Schwaber y J. Sutherland, The Scrum Guide: The Definitive Guide to Scrum: The Rules of the Game. Scrum.org y Scrum Inc., 2020.</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M. Hron y N. Obwegeser, "Why and how is Scrum being adapted in practice: a systematic review," J. Syst. Softw., vol. 183, p. 111110, 2022.</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[44]	</w:t>
      </w:r>
      <w:r>
        <w:rPr>
          <w:rFonts w:ascii="Arial" w:cs="Arial" w:eastAsia="Arial" w:hAnsi="Arial"/>
          <w:sz w:val="24"/>
          <w:szCs w:val="24"/>
        </w:rPr>
        <w:t xml:space="preserve">L. R. Aiken, "Three coefficients for analyzing the reliability and validity of ratings," Educ. Psychol. Meas., vol. 45, no. 1, pp. 131–142, 1985.</w:t>
      </w:r>
    </w:p>
    <w:p>
      <w:pPr>
        <w:spacing w:after="120" w:line="360"/>
        <w:ind w:left="567" w:hanging="567"/>
        <w:jc w:val="left"/>
      </w:pPr>
      <w:r>
        <w:rPr>
          <w:rFonts w:ascii="Arial" w:cs="Arial" w:eastAsia="Arial" w:hAnsi="Arial"/>
          <w:sz w:val="24"/>
          <w:szCs w:val="24"/>
        </w:rPr>
        <w:t xml:space="preserve">[45]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Instrumento_v4_PRE_POST.xlsx,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 a otra persona o área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3. Ficha de verificación de implementación (variable independiente)</w:t>
      </w:r>
    </w:p>
    <w:p>
      <w:pPr>
        <w:spacing w:after="120" w:before="0" w:line="360"/>
        <w:jc w:val="both"/>
      </w:pPr>
      <w:r>
        <w:rPr>
          <w:rFonts w:ascii="Arial" w:cs="Arial" w:eastAsia="Arial" w:hAnsi="Arial"/>
          <w:sz w:val="22"/>
          <w:szCs w:val="22"/>
        </w:rPr>
        <w:t xml:space="preserve">Instrucción: antes de iniciar el postest, verifique cada funcionalidad del sistema y registre la fecha, el resultado y la evidencia (captura de pantalla o registro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1400"/>
        <w:gridCol w:w="12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 (dimensión)</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Funcionalidad verificada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1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Evidencia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Alta de un paciente nuevo con validación de campos obligatorios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Implementado / No implementado</w:t>
            </w: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del registro con marca de tiempo de inicio y fin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Creación de una cita con fecha, hora y servicio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automático del recordatorio al paciente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cancelación o reprogramación con aviso previo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una consulta de cada categoría</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Derivación al personal cuando la consulta no puede resolverse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cada consulta con su categoría, resolución y derivación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[43].</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 a otra persona o área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Módulos del sistema (VI)</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Implementación</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alta de paciente y marca de tiempo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creación de cita, recordatorio, cancelación o reprogramación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respuesta por categoría, derivación y registro de consultas</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160" w:line="360"/>
        <w:jc w:val="both"/>
      </w:pPr>
      <w:r>
        <w:rPr>
          <w:rFonts w:ascii="Arial" w:cs="Arial" w:eastAsia="Arial" w:hAnsi="Arial"/>
          <w:sz w:val="24"/>
          <w:szCs w:val="24"/>
        </w:rPr>
        <w:t xml:space="preserve">Opinión de aplicabilidad: ( ) Aplicable   ( ) Aplicable después de corregir   ( ) No aplicable</w:t>
      </w:r>
    </w:p>
    <w:p>
      <w:pPr>
        <w:spacing w:after="120" w:before="0" w:line="240"/>
        <w:jc w:val="both"/>
      </w:pPr>
      <w:r>
        <w:rPr>
          <w:rFonts w:ascii="Arial" w:cs="Arial" w:eastAsia="Arial" w:hAnsi="Arial"/>
          <w:sz w:val="20"/>
          <w:szCs w:val="20"/>
        </w:rPr>
        <w:t xml:space="preserve">Nota. El acuerdo entre los tres jueces se calcula con el coeficiente V de Aiken [44] en el archivo Validacion_Expertos_V_Aiken.xlsx.</w:t>
      </w:r>
    </w:p>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agosto y setiembre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[42].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día de la semana y orden de aparición. Los pares 1 a 12 coinciden en el día; el par 13 une las últimas sesiones de cada etapa y se excluye en el análisis de sensibilidad.</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03/08/2026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17/08/2026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24/08/2026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31/08/2026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r>
    </w:tbl>
    <w:p>
      <w:pPr>
        <w:pStyle w:val="Heading2"/>
        <w:pageBreakBefore/>
        <w:spacing w:after="160" w:before="120" w:line="360"/>
      </w:pPr>
      <w:r>
        <w:rPr>
          <w:rFonts w:ascii="Arial" w:cs="Arial" w:eastAsia="Arial" w:hAnsi="Arial"/>
          <w:b/>
          <w:bCs/>
          <w:sz w:val="24"/>
          <w:szCs w:val="24"/>
        </w:rPr>
        <w:t xml:space="preserve">Anexo 8. Documentación del sistema y otras evidencias</w:t>
      </w:r>
    </w:p>
    <w:p>
      <w:pPr>
        <w:spacing w:after="120" w:before="0" w:line="360"/>
        <w:jc w:val="both"/>
      </w:pPr>
      <w:r>
        <w:rPr>
          <w:rFonts w:ascii="Arial" w:cs="Arial" w:eastAsia="Arial" w:hAnsi="Arial"/>
          <w:sz w:val="22"/>
          <w:szCs w:val="22"/>
          <w:highlight w:val="yellow"/>
        </w:rPr>
        <w:t xml:space="preserve">Verificar que el contenido de este anexo coincida con lo efectivamente desarrollado e implementado. Los requisitos se derivaron de lo que la investigación necesita medir; eliminen o ajusten los que no correspondan.</w:t>
      </w:r>
    </w:p>
    <w:p>
      <w:pPr>
        <w:spacing w:after="120" w:before="0" w:line="360"/>
        <w:jc w:val="both"/>
      </w:pPr>
      <w:r>
        <w:rPr>
          <w:rFonts w:ascii="Arial" w:cs="Arial" w:eastAsia="Arial" w:hAnsi="Arial"/>
          <w:b/>
          <w:bCs/>
          <w:sz w:val="24"/>
          <w:szCs w:val="24"/>
        </w:rPr>
        <w:t xml:space="preserve">A. Responsabilidades en Scrum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Responsabilidad</w:t>
            </w:r>
          </w:p>
        </w:tc>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Persona</w:t>
            </w:r>
          </w:p>
        </w:tc>
        <w:tc>
          <w:tcPr>
            <w:tcW w:type="dxa" w:w="3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Función en el proyecto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Dueño del producto</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nombre y cargo</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Priorizó la pila del producto según las necesidades de la fundación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Scrum Master</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nombre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Facilitó los eventos y removió impedimentos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Desarrolladores</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confirmar: Arnao Fretel, Jasmin; Davila Anchante, Eros Matias</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Construyeron los incrementos del sistema</w:t>
            </w:r>
          </w:p>
        </w:tc>
      </w:tr>
    </w:tbl>
    <w:p>
      <w:pPr>
        <w:spacing w:after="120" w:before="200" w:line="360"/>
        <w:jc w:val="both"/>
      </w:pPr>
      <w:r>
        <w:rPr>
          <w:rFonts w:ascii="Arial" w:cs="Arial" w:eastAsia="Arial" w:hAnsi="Arial"/>
          <w:b/>
          <w:bCs/>
          <w:sz w:val="24"/>
          <w:szCs w:val="24"/>
        </w:rPr>
        <w:t xml:space="preserve">B. Requisitos del sistema y trazabilidad con los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7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Requisito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w:t>
            </w:r>
          </w:p>
        </w:tc>
        <w:tc>
          <w:tcPr>
            <w:tcW w:type="dxa" w:w="17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 que sustenta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RF01</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un paciente nuevo con validación de campos obligatorios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Guardar la marca de tiempo de inicio y fin de cada registro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 (fuente del postest)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RF03</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Programar una cita con fecha, hora y servicio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RF04</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Enviar un recordatorio automático antes de la cita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RF05</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asistencia, inasistencia, cancelación o reprogramación con aviso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RF06</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Responder consultas administrativas por categoría con información oficial de la fundación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RF07</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Derivar al personal las consultas que el chatbot no puede resolver</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RF08</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cada consulta con su categoría, resolución, derivación y tiempo de respuesta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RF09</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Exportar los registros para su consolidación en la ficha de recolección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 TA y 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RNF01</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Acceso restringido y confidencialidad de los datos personales (Ley N.° 29733)</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RNF02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Acceso desde navegador web, sin instalación local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r>
    </w:tbl>
    <w:p>
      <w:pPr>
        <w:spacing w:after="120" w:before="200" w:line="360"/>
        <w:jc w:val="both"/>
      </w:pPr>
      <w:r>
        <w:rPr>
          <w:rFonts w:ascii="Arial" w:cs="Arial" w:eastAsia="Arial" w:hAnsi="Arial"/>
          <w:b/>
          <w:bCs/>
          <w:sz w:val="24"/>
          <w:szCs w:val="24"/>
        </w:rPr>
        <w:t xml:space="preserve">C. Planificación de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800"/>
        <w:gridCol w:w="23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Sprint</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Fechas</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Objetivo del sprint</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Requisitos abordados</w:t>
            </w:r>
          </w:p>
        </w:tc>
        <w:tc>
          <w:tcPr>
            <w:tcW w:type="dxa" w:w="23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Incremento entregado</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b/>
          <w:bCs/>
          <w:sz w:val="24"/>
          <w:szCs w:val="24"/>
        </w:rPr>
        <w:t xml:space="preserve">D. Arquitectura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Capa</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Componente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Tecnología</w:t>
            </w:r>
          </w:p>
        </w:tc>
        <w:tc>
          <w:tcPr>
            <w:tcW w:type="dxa" w:w="3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Presentación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Interfaz web</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 y agendamiento de citas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Lógica de negocio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Servidor de aplicación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Reglas de registro, agendamiento y marcas de tiempo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Datos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Base de datos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 pacientes, citas y consultas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Inteligencia artificial</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Modelo de lenguaje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Gemini </w:t>
            </w:r>
            <w:r>
              <w:rPr>
                <w:rFonts w:ascii="Arial" w:cs="Arial" w:eastAsia="Arial" w:hAnsi="Arial"/>
                <w:b w:val="false"/>
                <w:bCs w:val="false"/>
                <w:sz w:val="18"/>
                <w:szCs w:val="18"/>
                <w:highlight w:val="yellow"/>
              </w:rPr>
              <w:t xml:space="preserve">versión</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consultas administrativas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Orquestación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Flujos automatizados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n8n</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Conexión del chatbot con la información institucional y envío de recordatorios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Mensajería</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recordatorios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de recordatorios a los pacientes</w:t>
            </w:r>
          </w:p>
        </w:tc>
      </w:tr>
    </w:tbl>
    <w:p>
      <w:pPr>
        <w:spacing w:after="120" w:before="200" w:line="360"/>
        <w:jc w:val="both"/>
      </w:pPr>
      <w:r>
        <w:rPr>
          <w:rFonts w:ascii="Arial" w:cs="Arial" w:eastAsia="Arial" w:hAnsi="Arial"/>
          <w:b/>
          <w:bCs/>
          <w:sz w:val="24"/>
          <w:szCs w:val="24"/>
        </w:rPr>
        <w:t xml:space="preserve">E. Evidencias</w:t>
      </w:r>
    </w:p>
    <w:p>
      <w:pPr>
        <w:spacing w:after="120" w:before="0" w:line="360"/>
        <w:jc w:val="both"/>
      </w:pPr>
      <w:r>
        <w:rPr>
          <w:rFonts w:ascii="Arial" w:cs="Arial" w:eastAsia="Arial" w:hAnsi="Arial"/>
          <w:sz w:val="24"/>
          <w:szCs w:val="24"/>
          <w:highlight w:val="yellow"/>
        </w:rPr>
        <w:t xml:space="preserve">Insertar capturas de pantalla de los módulos, el diagrama de arquitectura, el modelo de datos y las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2026-09-26T21:51:42.820Z</dcterms:created>
  <dcterms:modified xsi:type="dcterms:W3CDTF">2026-09-26T21:51:42.820Z</dcterms:modified>
</cp:coreProperties>
</file>

<file path=docProps/custom.xml><?xml version="1.0" encoding="utf-8"?>
<Properties xmlns="http://schemas.openxmlformats.org/officeDocument/2006/custom-properties" xmlns:vt="http://schemas.openxmlformats.org/officeDocument/2006/docPropsVTypes"/>
</file>