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28"/>
          <w:szCs w:val="28"/>
        </w:rPr>
        <w:t xml:space="preserve">SESIÓN 8 — PAQUETE DE VALIDACIÓN POR JUICIO DE EXPERTOS</w:t>
      </w:r>
    </w:p>
    <w:p>
      <w:pPr>
        <w:spacing w:after="240"/>
        <w:jc w:val="center"/>
      </w:pPr>
      <w:r>
        <w:rPr>
          <w:rFonts w:ascii="Arial" w:cs="Arial" w:eastAsia="Arial" w:hAnsi="Arial"/>
          <w:i/>
          <w:iCs/>
          <w:sz w:val="20"/>
          <w:szCs w:val="20"/>
        </w:rPr>
        <w:t xml:space="preserve">Sistema web con chatbot para la gestión de pacientes en una fundación oncológica privada de Lima, 2026</w:t>
      </w:r>
    </w:p>
    <w:p>
      <w:pPr>
        <w:spacing w:after="110" w:line="300"/>
        <w:jc w:val="both"/>
      </w:pPr>
      <w:r>
        <w:rPr>
          <w:rFonts w:ascii="Arial" w:cs="Arial" w:eastAsia="Arial" w:hAnsi="Arial"/>
          <w:b/>
          <w:bCs/>
          <w:sz w:val="20"/>
          <w:szCs w:val="20"/>
        </w:rPr>
        <w:t xml:space="preserve">Cómo usar este documento.</w:t>
      </w:r>
      <w:r>
        <w:rPr>
          <w:rFonts w:ascii="Arial" w:cs="Arial" w:eastAsia="Arial" w:hAnsi="Arial"/>
          <w:sz w:val="20"/>
          <w:szCs w:val="20"/>
        </w:rPr>
        <w:t xml:space="preserve"> Imprimir o enviar una copia a cada uno de los tres jueces. Cada juez completa las secciones 5 a 7 y firma. Luego, las calificaciones se transcriben sin modificaciones al archivo Validacion_Expertos_V_Aiken.xlsx, que calcula el coeficiente V de Aiken. Los campos resaltados en amarillo deben completarse antes del envío.</w:t>
      </w:r>
    </w:p>
    <w:p>
      <w:pPr>
        <w:pStyle w:val="Heading1"/>
        <w:spacing w:after="120" w:before="200"/>
      </w:pPr>
      <w:r>
        <w:rPr>
          <w:rFonts w:ascii="Arial" w:cs="Arial" w:eastAsia="Arial" w:hAnsi="Arial"/>
          <w:b/>
          <w:bCs/>
          <w:color w:val="1F3864"/>
          <w:sz w:val="24"/>
          <w:szCs w:val="24"/>
        </w:rPr>
        <w:t xml:space="preserve">1. Carta de solicitud de validación</w:t>
      </w:r>
    </w:p>
    <w:p>
      <w:pPr>
        <w:spacing w:after="110" w:line="300"/>
        <w:jc w:val="right"/>
      </w:pPr>
      <w:r>
        <w:rPr>
          <w:rFonts w:ascii="Arial" w:cs="Arial" w:eastAsia="Arial" w:hAnsi="Arial"/>
          <w:sz w:val="22"/>
          <w:szCs w:val="22"/>
        </w:rPr>
        <w:t xml:space="preserve">Lima, </w:t>
      </w:r>
      <w:r>
        <w:rPr>
          <w:rFonts w:ascii="Arial" w:cs="Arial" w:eastAsia="Arial" w:hAnsi="Arial"/>
          <w:sz w:val="22"/>
          <w:szCs w:val="22"/>
          <w:highlight w:val="yellow"/>
        </w:rPr>
        <w:t xml:space="preserve">fecha</w:t>
      </w:r>
    </w:p>
    <w:p>
      <w:pPr>
        <w:spacing w:after="0" w:line="300"/>
        <w:jc w:val="both"/>
      </w:pPr>
      <w:r>
        <w:rPr>
          <w:rFonts w:ascii="Arial" w:cs="Arial" w:eastAsia="Arial" w:hAnsi="Arial"/>
          <w:sz w:val="22"/>
          <w:szCs w:val="22"/>
        </w:rPr>
        <w:t xml:space="preserve">Señor(a): </w:t>
      </w:r>
      <w:r>
        <w:rPr>
          <w:rFonts w:ascii="Arial" w:cs="Arial" w:eastAsia="Arial" w:hAnsi="Arial"/>
          <w:sz w:val="22"/>
          <w:szCs w:val="22"/>
          <w:highlight w:val="yellow"/>
        </w:rPr>
        <w:t xml:space="preserve">grado, nombres y apellidos del experto</w:t>
      </w:r>
    </w:p>
    <w:p>
      <w:pPr>
        <w:spacing w:after="0" w:line="300"/>
        <w:jc w:val="both"/>
      </w:pPr>
      <w:r>
        <w:rPr>
          <w:rFonts w:ascii="Arial" w:cs="Arial" w:eastAsia="Arial" w:hAnsi="Arial"/>
          <w:sz w:val="22"/>
          <w:szCs w:val="22"/>
          <w:highlight w:val="yellow"/>
        </w:rPr>
        <w:t xml:space="preserve">cargo e institución</w:t>
      </w:r>
    </w:p>
    <w:p>
      <w:pPr>
        <w:spacing w:after="110" w:line="300"/>
        <w:jc w:val="both"/>
      </w:pPr>
      <w:r>
        <w:rPr>
          <w:rFonts w:ascii="Arial" w:cs="Arial" w:eastAsia="Arial" w:hAnsi="Arial"/>
          <w:sz w:val="22"/>
          <w:szCs w:val="22"/>
        </w:rPr>
        <w:t xml:space="preserve">Presente.-</w:t>
      </w:r>
    </w:p>
    <w:p>
      <w:pPr>
        <w:spacing w:after="110" w:line="300"/>
        <w:jc w:val="both"/>
      </w:pPr>
      <w:r>
        <w:rPr>
          <w:rFonts w:ascii="Arial" w:cs="Arial" w:eastAsia="Arial" w:hAnsi="Arial"/>
          <w:sz w:val="22"/>
          <w:szCs w:val="22"/>
        </w:rPr>
        <w:t xml:space="preserve">Nos es grato saludarle y solicitarle, en atención a su experiencia profesional, su participación como juez experto en la validación de contenido de los instrumentos de la investigación titulada "Sistema web con chatbot para la gestión de pacientes en una fundación oncológica privada de Lima, 2026", desarrollada por estudiantes de la Escuela Profesional de Ingeniería de Sistemas de la Universidad César Vallejo, campus Lima Norte, para la obtención del título profesional.</w:t>
      </w:r>
    </w:p>
    <w:p>
      <w:pPr>
        <w:spacing w:after="110" w:line="300"/>
        <w:jc w:val="both"/>
      </w:pPr>
      <w:r>
        <w:rPr>
          <w:rFonts w:ascii="Arial" w:cs="Arial" w:eastAsia="Arial" w:hAnsi="Arial"/>
          <w:sz w:val="22"/>
          <w:szCs w:val="22"/>
        </w:rPr>
        <w:t xml:space="preserve">Adjuntamos la definición de las variables, la ficha técnica de los instrumentos y la matriz de validación. Le agradeceremos calificar cada ítem según los criterios indicados, consignar sus observaciones, emitir su opinión de aplicabilidad y firmar la ficha de datos del experto. Su participación es voluntaria y sus datos se utilizarán únicamente con fines académicos.</w:t>
      </w:r>
    </w:p>
    <w:p>
      <w:pPr>
        <w:spacing w:after="110" w:line="300"/>
        <w:jc w:val="both"/>
      </w:pPr>
      <w:r>
        <w:rPr>
          <w:rFonts w:ascii="Arial" w:cs="Arial" w:eastAsia="Arial" w:hAnsi="Arial"/>
          <w:sz w:val="22"/>
          <w:szCs w:val="22"/>
        </w:rPr>
        <w:t xml:space="preserve">Atentamente,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2826"/>
      </w:tblGrid>
      <w:tr>
        <w:trPr>
          <w:cantSplit/>
          <w:tblHeader/>
        </w:trPr>
        <w:tc>
          <w:tcPr>
            <w:tcW w:type="dxa" w:w="4400"/>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8"/>
                <w:szCs w:val="18"/>
              </w:rPr>
              <w:t xml:space="preserve">Investigadores</w:t>
            </w:r>
          </w:p>
        </w:tc>
        <w:tc>
          <w:tcPr>
            <w:tcW w:type="dxa" w:w="1800"/>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8"/>
                <w:szCs w:val="18"/>
              </w:rPr>
              <w:t xml:space="preserve">DNI N.°</w:t>
            </w:r>
          </w:p>
        </w:tc>
        <w:tc>
          <w:tcPr>
            <w:tcW w:type="dxa" w:w="2826"/>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8"/>
                <w:szCs w:val="18"/>
              </w:rPr>
              <w:t xml:space="preserve">Firma</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Arnao Fretel, Jasmin</w:t>
            </w:r>
          </w:p>
        </w:tc>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8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44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Davila Anchante, Eros Matias</w:t>
            </w:r>
          </w:p>
        </w:tc>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8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bl>
    <w:p>
      <w:pPr>
        <w:pStyle w:val="Heading1"/>
        <w:pageBreakBefore/>
        <w:spacing w:after="120" w:before="200"/>
      </w:pPr>
      <w:r>
        <w:rPr>
          <w:rFonts w:ascii="Arial" w:cs="Arial" w:eastAsia="Arial" w:hAnsi="Arial"/>
          <w:b/>
          <w:bCs/>
          <w:color w:val="1F3864"/>
          <w:sz w:val="24"/>
          <w:szCs w:val="24"/>
        </w:rPr>
        <w:t xml:space="preserve">2. Datos de la investigación</w:t>
      </w:r>
    </w:p>
    <w:p>
      <w:pPr>
        <w:spacing w:after="110" w:line="300"/>
        <w:jc w:val="both"/>
      </w:pPr>
      <w:r>
        <w:rPr>
          <w:rFonts w:ascii="Arial" w:cs="Arial" w:eastAsia="Arial" w:hAnsi="Arial"/>
          <w:b/>
          <w:bCs/>
          <w:sz w:val="22"/>
          <w:szCs w:val="22"/>
        </w:rPr>
        <w:t xml:space="preserve">Objetivo general:</w:t>
      </w:r>
      <w:r>
        <w:rPr>
          <w:rFonts w:ascii="Arial" w:cs="Arial" w:eastAsia="Arial" w:hAnsi="Arial"/>
          <w:sz w:val="22"/>
          <w:szCs w:val="22"/>
        </w:rPr>
        <w:t xml:space="preserve"> Determinar la influencia de un sistema web con chatbot para la gestión de pacientes en una fundación oncológica privada de Lima, 2026.</w:t>
      </w:r>
    </w:p>
    <w:p>
      <w:pPr>
        <w:spacing w:after="110" w:line="300"/>
        <w:jc w:val="both"/>
      </w:pPr>
      <w:r>
        <w:rPr>
          <w:rFonts w:ascii="Arial" w:cs="Arial" w:eastAsia="Arial" w:hAnsi="Arial"/>
          <w:b/>
          <w:bCs/>
          <w:sz w:val="22"/>
          <w:szCs w:val="22"/>
        </w:rPr>
        <w:t xml:space="preserve">Variable independiente:</w:t>
      </w:r>
      <w:r>
        <w:rPr>
          <w:rFonts w:ascii="Arial" w:cs="Arial" w:eastAsia="Arial" w:hAnsi="Arial"/>
          <w:sz w:val="22"/>
          <w:szCs w:val="22"/>
        </w:rPr>
        <w:t xml:space="preserve"> sistema web con chatbot, plataforma digital accesible desde un navegador que incorpora un agente conversacional capaz de interactuar con los usuarios en tiempo real. Dimensiones: módulo de registro, módulo de agendamiento y recordatorios, y módulo de chatbot.</w:t>
      </w:r>
    </w:p>
    <w:p>
      <w:pPr>
        <w:spacing w:after="110" w:line="300"/>
        <w:jc w:val="both"/>
      </w:pPr>
      <w:r>
        <w:rPr>
          <w:rFonts w:ascii="Arial" w:cs="Arial" w:eastAsia="Arial" w:hAnsi="Arial"/>
          <w:b/>
          <w:bCs/>
          <w:sz w:val="22"/>
          <w:szCs w:val="22"/>
        </w:rPr>
        <w:t xml:space="preserve">Variable dependiente:</w:t>
      </w:r>
      <w:r>
        <w:rPr>
          <w:rFonts w:ascii="Arial" w:cs="Arial" w:eastAsia="Arial" w:hAnsi="Arial"/>
          <w:sz w:val="22"/>
          <w:szCs w:val="22"/>
        </w:rPr>
        <w:t xml:space="preserve"> gestión de pacientes, conjunto de procesos mediante los cuales una institución de salud registra, organiza, consulta y administra la información de la atención de sus pacientes.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100"/>
        <w:gridCol w:w="1926"/>
      </w:tblGrid>
      <w:tr>
        <w:trPr>
          <w:cantSplit/>
          <w:tblHeader/>
        </w:trPr>
        <w:tc>
          <w:tcPr>
            <w:tcW w:type="dxa" w:w="2000"/>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8"/>
                <w:szCs w:val="18"/>
              </w:rPr>
              <w:t xml:space="preserve">Dimensión</w:t>
            </w:r>
          </w:p>
        </w:tc>
        <w:tc>
          <w:tcPr>
            <w:tcW w:type="dxa" w:w="2000"/>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8"/>
                <w:szCs w:val="18"/>
              </w:rPr>
              <w:t xml:space="preserve">Indicador</w:t>
            </w:r>
          </w:p>
        </w:tc>
        <w:tc>
          <w:tcPr>
            <w:tcW w:type="dxa" w:w="3100"/>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8"/>
                <w:szCs w:val="18"/>
              </w:rPr>
              <w:t xml:space="preserve">Definición operacional</w:t>
            </w:r>
          </w:p>
        </w:tc>
        <w:tc>
          <w:tcPr>
            <w:tcW w:type="dxa" w:w="1926"/>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8"/>
                <w:szCs w:val="18"/>
              </w:rPr>
              <w:t xml:space="preserve">Fórmula</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Registro de pacientes</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Tiempo promedio de registro (TPR)</w:t>
            </w:r>
          </w:p>
        </w:tc>
        <w:tc>
          <w:tcPr>
            <w:tcW w:type="dxa" w:w="31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Tiempo entre el inicio del ingreso de los datos del paciente y su almacenamiento correcto.</w:t>
            </w:r>
          </w:p>
        </w:tc>
        <w:tc>
          <w:tcPr>
            <w:tcW w:type="dxa" w:w="19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Σ tiempos / N.° de registros (min)</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Agendamiento de citas médicas</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Tasa de ausentismo (TA)</w:t>
            </w:r>
          </w:p>
        </w:tc>
        <w:tc>
          <w:tcPr>
            <w:tcW w:type="dxa" w:w="31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Citas programadas elegibles no asistidas sin aviso previo; se excluyen canceladas y reprogramadas con aviso.</w:t>
            </w:r>
          </w:p>
        </w:tc>
        <w:tc>
          <w:tcPr>
            <w:tcW w:type="dxa" w:w="19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(no asistidas sin aviso / elegibles) × 100</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Eficacia de la atención</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Nivel de consultas atendidas (NCA)</w:t>
            </w:r>
          </w:p>
        </w:tc>
        <w:tc>
          <w:tcPr>
            <w:tcW w:type="dxa" w:w="31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Consultas resueltas en el primer contacto, sin derivación ni nuevo contacto por el mismo motivo.</w:t>
            </w:r>
          </w:p>
        </w:tc>
        <w:tc>
          <w:tcPr>
            <w:tcW w:type="dxa" w:w="19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(resueltas y no derivadas / recibidas) × 100</w:t>
            </w:r>
          </w:p>
        </w:tc>
      </w:tr>
    </w:tbl>
    <w:p>
      <w:pPr>
        <w:pStyle w:val="Heading1"/>
        <w:spacing w:after="120" w:before="200"/>
      </w:pPr>
      <w:r>
        <w:rPr>
          <w:rFonts w:ascii="Arial" w:cs="Arial" w:eastAsia="Arial" w:hAnsi="Arial"/>
          <w:b/>
          <w:bCs/>
          <w:color w:val="1F3864"/>
          <w:sz w:val="24"/>
          <w:szCs w:val="24"/>
        </w:rPr>
        <w:t xml:space="preserve">3. Ficha técnica de los instrumentos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226"/>
      </w:tblGrid>
      <w:tr>
        <w:trPr>
          <w:cantSplit/>
          <w:tblHeader/>
        </w:trPr>
        <w:tc>
          <w:tcPr>
            <w:tcW w:type="dxa" w:w="1800"/>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8"/>
                <w:szCs w:val="18"/>
              </w:rPr>
              <w:t xml:space="preserve">Aspecto</w:t>
            </w:r>
          </w:p>
        </w:tc>
        <w:tc>
          <w:tcPr>
            <w:tcW w:type="dxa" w:w="2400"/>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8"/>
                <w:szCs w:val="18"/>
              </w:rPr>
              <w:t xml:space="preserve">Instrumento 1</w:t>
            </w:r>
          </w:p>
        </w:tc>
        <w:tc>
          <w:tcPr>
            <w:tcW w:type="dxa" w:w="2600"/>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8"/>
                <w:szCs w:val="18"/>
              </w:rPr>
              <w:t xml:space="preserve">Instrumento 2</w:t>
            </w:r>
          </w:p>
        </w:tc>
        <w:tc>
          <w:tcPr>
            <w:tcW w:type="dxa" w:w="2226"/>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8"/>
                <w:szCs w:val="18"/>
              </w:rPr>
              <w:t xml:space="preserve">Instrumento 3</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Nombre</w:t>
            </w:r>
          </w:p>
        </w:tc>
        <w:tc>
          <w:tcPr>
            <w:tcW w:type="dxa" w:w="24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Ficha de registro de tiempos</w:t>
            </w:r>
          </w:p>
        </w:tc>
        <w:tc>
          <w:tcPr>
            <w:tcW w:type="dxa" w:w="26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Ficha de registro de gestión de pacientes (A: citas; B: consultas)</w:t>
            </w:r>
          </w:p>
        </w:tc>
        <w:tc>
          <w:tcPr>
            <w:tcW w:type="dxa" w:w="22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Ficha de verificación de implementación</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Autores</w:t>
            </w:r>
          </w:p>
        </w:tc>
        <w:tc>
          <w:tcPr>
            <w:tcW w:type="dxa" w:w="24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Arnao Fretel y Davila Anchante (2026)</w:t>
            </w:r>
          </w:p>
        </w:tc>
        <w:tc>
          <w:tcPr>
            <w:tcW w:type="dxa" w:w="26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Arnao Fretel y Davila Anchante (2026)</w:t>
            </w:r>
          </w:p>
        </w:tc>
        <w:tc>
          <w:tcPr>
            <w:tcW w:type="dxa" w:w="22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Arnao Fretel y Davila Anchante (2026)</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Objetivo</w:t>
            </w:r>
          </w:p>
        </w:tc>
        <w:tc>
          <w:tcPr>
            <w:tcW w:type="dxa" w:w="24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Medir el TPR</w:t>
            </w:r>
          </w:p>
        </w:tc>
        <w:tc>
          <w:tcPr>
            <w:tcW w:type="dxa" w:w="26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Medir la TA y el NCA</w:t>
            </w:r>
          </w:p>
        </w:tc>
        <w:tc>
          <w:tcPr>
            <w:tcW w:type="dxa" w:w="22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Constatar la implementación de la VI</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Técnica</w:t>
            </w:r>
          </w:p>
        </w:tc>
        <w:tc>
          <w:tcPr>
            <w:tcW w:type="dxa" w:w="24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Observación estructurada (pretest); análisis documental (postest)</w:t>
            </w:r>
          </w:p>
        </w:tc>
        <w:tc>
          <w:tcPr>
            <w:tcW w:type="dxa" w:w="26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Análisis documental</w:t>
            </w:r>
          </w:p>
        </w:tc>
        <w:tc>
          <w:tcPr>
            <w:tcW w:type="dxa" w:w="22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Observación</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Unidad de registro</w:t>
            </w:r>
          </w:p>
        </w:tc>
        <w:tc>
          <w:tcPr>
            <w:tcW w:type="dxa" w:w="24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Cada proceso de registro</w:t>
            </w:r>
          </w:p>
        </w:tc>
        <w:tc>
          <w:tcPr>
            <w:tcW w:type="dxa" w:w="26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Cada cita programada (A); cada consulta recibida (B)</w:t>
            </w:r>
          </w:p>
        </w:tc>
        <w:tc>
          <w:tcPr>
            <w:tcW w:type="dxa" w:w="22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Cada funcionalidad del sistema</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Aplicación</w:t>
            </w:r>
          </w:p>
        </w:tc>
        <w:tc>
          <w:tcPr>
            <w:tcW w:type="dxa" w:w="24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13 sesiones pretest (agosto) y 13 postest (setiembre), lun/mié/vie</w:t>
            </w:r>
          </w:p>
        </w:tc>
        <w:tc>
          <w:tcPr>
            <w:tcW w:type="dxa" w:w="26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Igual que el instrumento 1</w:t>
            </w:r>
          </w:p>
        </w:tc>
        <w:tc>
          <w:tcPr>
            <w:tcW w:type="dxa" w:w="22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Una vez, antes del postest</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Soporte</w:t>
            </w:r>
          </w:p>
        </w:tc>
        <w:tc>
          <w:tcPr>
            <w:tcW w:type="dxa" w:w="24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Hoja de cálculo con listas desplegables y cálculo automático</w:t>
            </w:r>
          </w:p>
        </w:tc>
        <w:tc>
          <w:tcPr>
            <w:tcW w:type="dxa" w:w="26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Igual que el instrumento 1</w:t>
            </w:r>
          </w:p>
        </w:tc>
        <w:tc>
          <w:tcPr>
            <w:tcW w:type="dxa" w:w="22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Hoja de cálculo</w:t>
            </w:r>
          </w:p>
        </w:tc>
      </w:tr>
    </w:tbl>
    <w:p>
      <w:pPr>
        <w:pStyle w:val="Heading1"/>
        <w:spacing w:after="120" w:before="200"/>
      </w:pPr>
      <w:r>
        <w:rPr>
          <w:rFonts w:ascii="Arial" w:cs="Arial" w:eastAsia="Arial" w:hAnsi="Arial"/>
          <w:b/>
          <w:bCs/>
          <w:color w:val="1F3864"/>
          <w:sz w:val="24"/>
          <w:szCs w:val="24"/>
        </w:rPr>
        <w:t xml:space="preserve">4. Criterios e instrucciones</w:t>
      </w:r>
    </w:p>
    <w:p>
      <w:pPr>
        <w:spacing w:after="110" w:line="300"/>
        <w:jc w:val="both"/>
      </w:pPr>
      <w:r>
        <w:rPr>
          <w:rFonts w:ascii="Arial" w:cs="Arial" w:eastAsia="Arial" w:hAnsi="Arial"/>
          <w:sz w:val="22"/>
          <w:szCs w:val="22"/>
        </w:rPr>
        <w:t xml:space="preserve">Califique cada ítem con </w:t>
      </w:r>
      <w:r>
        <w:rPr>
          <w:rFonts w:ascii="Arial" w:cs="Arial" w:eastAsia="Arial" w:hAnsi="Arial"/>
          <w:b/>
          <w:bCs/>
          <w:sz w:val="22"/>
          <w:szCs w:val="22"/>
        </w:rPr>
        <w:t xml:space="preserve">1 (de acuerdo)</w:t>
      </w:r>
      <w:r>
        <w:rPr>
          <w:rFonts w:ascii="Arial" w:cs="Arial" w:eastAsia="Arial" w:hAnsi="Arial"/>
          <w:sz w:val="22"/>
          <w:szCs w:val="22"/>
        </w:rPr>
        <w:t xml:space="preserve"> o </w:t>
      </w:r>
      <w:r>
        <w:rPr>
          <w:rFonts w:ascii="Arial" w:cs="Arial" w:eastAsia="Arial" w:hAnsi="Arial"/>
          <w:b/>
          <w:bCs/>
          <w:sz w:val="22"/>
          <w:szCs w:val="22"/>
        </w:rPr>
        <w:t xml:space="preserve">0 (en desacuerdo)</w:t>
      </w:r>
      <w:r>
        <w:rPr>
          <w:rFonts w:ascii="Arial" w:cs="Arial" w:eastAsia="Arial" w:hAnsi="Arial"/>
          <w:sz w:val="22"/>
          <w:szCs w:val="22"/>
        </w:rPr>
        <w:t xml:space="preserve"> en cada criterio. Si califica con 0, indique en "Observación" el motivo y la corrección sugerida.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8"/>
                <w:szCs w:val="18"/>
              </w:rPr>
              <w:t xml:space="preserve">Criterio</w:t>
            </w:r>
          </w:p>
        </w:tc>
        <w:tc>
          <w:tcPr>
            <w:tcW w:type="dxa" w:w="7026"/>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8"/>
                <w:szCs w:val="18"/>
              </w:rPr>
              <w:t xml:space="preserve">Detalle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Suficiencia</w:t>
            </w:r>
          </w:p>
        </w:tc>
        <w:tc>
          <w:tcPr>
            <w:tcW w:type="dxa" w:w="70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El ítem pertenece a la dimensión y basta para obtener su medición.</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Claridad</w:t>
            </w:r>
          </w:p>
        </w:tc>
        <w:tc>
          <w:tcPr>
            <w:tcW w:type="dxa" w:w="70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El ítem se comprende fácilmente; su redacción es adecuada.</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Coherencia</w:t>
            </w:r>
          </w:p>
        </w:tc>
        <w:tc>
          <w:tcPr>
            <w:tcW w:type="dxa" w:w="70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El ítem tiene relación lógica con el indicador que mide.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Relevancia</w:t>
            </w:r>
          </w:p>
        </w:tc>
        <w:tc>
          <w:tcPr>
            <w:tcW w:type="dxa" w:w="70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El ítem es esencial y debe incluirse.</w:t>
            </w:r>
          </w:p>
        </w:tc>
      </w:tr>
    </w:tbl>
    <w:p>
      <w:pPr>
        <w:spacing w:after="110" w:line="300"/>
        <w:jc w:val="both"/>
      </w:pPr>
      <w:r>
        <w:rPr>
          <w:rFonts w:ascii="Arial" w:cs="Arial" w:eastAsia="Arial" w:hAnsi="Arial"/>
          <w:sz w:val="18"/>
          <w:szCs w:val="18"/>
        </w:rPr>
        <w:t xml:space="preserve">Nota. Criterios adaptados de Escobar-Pérez y Cuervo-Martínez (2008), según la guía de la Universidad César Vallejo.</w:t>
      </w:r>
    </w:p>
    <w:p>
      <w:pPr>
        <w:sectPr>
          <w:pgSz w:w="11906" w:h="16838" w:orient="portrait"/>
          <w:pgMar w:top="1440" w:right="1440" w:bottom="1440" w:left="1440" w:header="708" w:footer="708" w:gutter="0"/>
          <w:pgNumType/>
          <w:docGrid w:linePitch="360"/>
        </w:sectPr>
      </w:pPr>
    </w:p>
    <w:p>
      <w:pPr>
        <w:pStyle w:val="Heading1"/>
        <w:spacing w:after="120" w:before="200"/>
      </w:pPr>
      <w:r>
        <w:rPr>
          <w:rFonts w:ascii="Arial" w:cs="Arial" w:eastAsia="Arial" w:hAnsi="Arial"/>
          <w:b/>
          <w:bCs/>
          <w:color w:val="1F3864"/>
          <w:sz w:val="24"/>
          <w:szCs w:val="24"/>
        </w:rPr>
        <w:t xml:space="preserve">5. Matriz de validación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2200"/>
        <w:gridCol w:w="1300"/>
        <w:gridCol w:w="4000"/>
        <w:gridCol w:w="950"/>
        <w:gridCol w:w="950"/>
        <w:gridCol w:w="950"/>
        <w:gridCol w:w="950"/>
        <w:gridCol w:w="1258"/>
      </w:tblGrid>
      <w:tr>
        <w:trPr>
          <w:cantSplit/>
          <w:tblHeader/>
        </w:trPr>
        <w:tc>
          <w:tcPr>
            <w:tcW w:type="dxa" w:w="500"/>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N.°</w:t>
            </w:r>
          </w:p>
        </w:tc>
        <w:tc>
          <w:tcPr>
            <w:tcW w:type="dxa" w:w="900"/>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Instrumento</w:t>
            </w:r>
          </w:p>
        </w:tc>
        <w:tc>
          <w:tcPr>
            <w:tcW w:type="dxa" w:w="2200"/>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Dimensión</w:t>
            </w:r>
          </w:p>
        </w:tc>
        <w:tc>
          <w:tcPr>
            <w:tcW w:type="dxa" w:w="1300"/>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Indicador</w:t>
            </w:r>
          </w:p>
        </w:tc>
        <w:tc>
          <w:tcPr>
            <w:tcW w:type="dxa" w:w="4000"/>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Ítem (campo o funcionalidad)</w:t>
            </w:r>
          </w:p>
        </w:tc>
        <w:tc>
          <w:tcPr>
            <w:tcW w:type="dxa" w:w="950"/>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Suficiencia</w:t>
            </w:r>
          </w:p>
        </w:tc>
        <w:tc>
          <w:tcPr>
            <w:tcW w:type="dxa" w:w="950"/>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Claridad</w:t>
            </w:r>
          </w:p>
        </w:tc>
        <w:tc>
          <w:tcPr>
            <w:tcW w:type="dxa" w:w="950"/>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Coherencia</w:t>
            </w:r>
          </w:p>
        </w:tc>
        <w:tc>
          <w:tcPr>
            <w:tcW w:type="dxa" w:w="950"/>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Relevancia</w:t>
            </w:r>
          </w:p>
        </w:tc>
        <w:tc>
          <w:tcPr>
            <w:tcW w:type="dxa" w:w="1258"/>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Observación</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1</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I1</w:t>
            </w: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Registro de pacientes</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TPR</w:t>
            </w: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Fecha de sesión</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2</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Código del paciente</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3</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Hora de inicio del registro</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4</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Hora de fin del registro</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5</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Tiempo del registro (min, calculado)</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6</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Modalidad (manual / sistema)</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7</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I2A</w:t>
            </w: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Agendamiento de citas médicas</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TA</w:t>
            </w: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Fecha de sesión</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Código del paciente</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Estado de la cita (asistió / no asistió / cancelada / reprogramada)</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10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Recordatorio enviado</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11</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I2B</w:t>
            </w: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Eficacia de la atención</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NCA</w:t>
            </w: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Fecha de sesión</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12</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Código del paciente</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13</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Categoría de la consulta</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14</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Canal de atención</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15</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Resuelta en el primer contacto</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16</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Derivada a otra persona o área</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17</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Tiempo de respuesta (min)</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18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I3</w:t>
            </w: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Módulos del sistema (VI)</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Implementación</w:t>
            </w: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Alta de paciente con validación de campos obligatorios</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19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Almacenamiento con marca de tiempo de inicio y fin</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20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Creación de cita con fecha, hora y servicio</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21</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Envío automático del recordatorio</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22</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Registro de cancelación o reprogramación con aviso</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23</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Respuesta a una consulta de cada categoría</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24</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Derivación al personal cuando no puede resolver</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25</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22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40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Registro de cada consulta con categoría, resolución y derivación</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c>
          <w:tcPr>
            <w:tcW w:type="dxa" w:w="125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bl>
    <w:p>
      <w:pPr>
        <w:spacing w:after="110" w:line="300"/>
        <w:jc w:val="both"/>
      </w:pPr>
      <w:r>
        <w:rPr>
          <w:rFonts w:ascii="Arial" w:cs="Arial" w:eastAsia="Arial" w:hAnsi="Arial"/>
          <w:sz w:val="17"/>
          <w:szCs w:val="17"/>
        </w:rPr>
        <w:t xml:space="preserve">I1: ficha de registro de tiempos · I2A y I2B: ficha de registro de gestión de pacientes (citas y consultas) · I3: ficha de verificación de implementación.</w:t>
      </w:r>
    </w:p>
    <w:p>
      <w:pPr>
        <w:sectPr>
          <w:pgSz w:w="16838" w:h="11906" w:orient="landscape"/>
          <w:pgMar w:top="1440" w:right="1440" w:bottom="1440" w:left="1440" w:header="708" w:footer="708" w:gutter="0"/>
          <w:pgNumType/>
          <w:docGrid w:linePitch="360"/>
        </w:sectPr>
      </w:pPr>
    </w:p>
    <w:p>
      <w:pPr>
        <w:pStyle w:val="Heading1"/>
        <w:spacing w:after="120" w:before="200"/>
      </w:pPr>
      <w:r>
        <w:rPr>
          <w:rFonts w:ascii="Arial" w:cs="Arial" w:eastAsia="Arial" w:hAnsi="Arial"/>
          <w:b/>
          <w:bCs/>
          <w:color w:val="1F3864"/>
          <w:sz w:val="24"/>
          <w:szCs w:val="24"/>
        </w:rPr>
        <w:t xml:space="preserve">6. Opinión de aplicabilidad</w:t>
      </w:r>
    </w:p>
    <w:p>
      <w:pPr>
        <w:spacing w:after="110" w:line="300"/>
        <w:jc w:val="both"/>
      </w:pPr>
      <w:r>
        <w:rPr>
          <w:rFonts w:ascii="Arial" w:cs="Arial" w:eastAsia="Arial" w:hAnsi="Arial"/>
          <w:sz w:val="22"/>
          <w:szCs w:val="22"/>
        </w:rPr>
        <w:t xml:space="preserve">( ) Aplicable        ( ) Aplicable después de corregir        ( ) No aplicable</w:t>
      </w:r>
    </w:p>
    <w:p>
      <w:pPr>
        <w:spacing w:after="110" w:line="300"/>
        <w:jc w:val="both"/>
      </w:pPr>
      <w:r>
        <w:rPr>
          <w:rFonts w:ascii="Arial" w:cs="Arial" w:eastAsia="Arial" w:hAnsi="Arial"/>
          <w:sz w:val="22"/>
          <w:szCs w:val="22"/>
        </w:rPr>
        <w:t xml:space="preserve">Observaciones generales: ______________________________________________________________</w:t>
      </w:r>
    </w:p>
    <w:p>
      <w:pPr>
        <w:pStyle w:val="Heading1"/>
        <w:spacing w:after="120" w:before="200"/>
      </w:pPr>
      <w:r>
        <w:rPr>
          <w:rFonts w:ascii="Arial" w:cs="Arial" w:eastAsia="Arial" w:hAnsi="Arial"/>
          <w:b/>
          <w:bCs/>
          <w:color w:val="1F3864"/>
          <w:sz w:val="24"/>
          <w:szCs w:val="24"/>
        </w:rPr>
        <w:t xml:space="preserve">7. Ficha de validación de juicio de experto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8"/>
                <w:szCs w:val="18"/>
              </w:rPr>
              <w:t xml:space="preserve">Dato</w:t>
            </w:r>
          </w:p>
        </w:tc>
        <w:tc>
          <w:tcPr>
            <w:tcW w:type="dxa" w:w="5426"/>
            <w:tcBorders>
              <w:top w:val="single" w:color="808080" w:sz="4"/>
              <w:left w:val="single" w:color="808080" w:sz="4"/>
              <w:bottom w:val="single" w:color="808080" w:sz="4"/>
              <w:right w:val="single" w:color="808080" w:sz="4"/>
            </w:tcBorders>
            <w:shd w:fill="D5DCE4" w:color="auto" w:val="clear"/>
            <w:tcMar>
              <w:top w:type="dxa" w:w="40"/>
              <w:left w:type="dxa" w:w="70"/>
              <w:bottom w:type="dxa" w:w="40"/>
              <w:right w:type="dxa" w:w="70"/>
            </w:tcMar>
          </w:tcPr>
          <w:p>
            <w:pPr>
              <w:spacing w:after="10"/>
            </w:pPr>
            <w:r>
              <w:rPr>
                <w:rFonts w:ascii="Arial" w:cs="Arial" w:eastAsia="Arial" w:hAnsi="Arial"/>
                <w:b/>
                <w:bCs/>
                <w:sz w:val="18"/>
                <w:szCs w:val="18"/>
              </w:rPr>
              <w:t xml:space="preserve">Registro</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Nombre del instrumento</w:t>
            </w:r>
          </w:p>
        </w:tc>
        <w:tc>
          <w:tcPr>
            <w:tcW w:type="dxa" w:w="54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Instrumentos 1, 2 y 3 de la investigación</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Nombres y apellidos del experto</w:t>
            </w:r>
          </w:p>
        </w:tc>
        <w:tc>
          <w:tcPr>
            <w:tcW w:type="dxa" w:w="54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Documento de identidad</w:t>
            </w:r>
          </w:p>
        </w:tc>
        <w:tc>
          <w:tcPr>
            <w:tcW w:type="dxa" w:w="54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Años de experiencia laboral</w:t>
            </w:r>
          </w:p>
        </w:tc>
        <w:tc>
          <w:tcPr>
            <w:tcW w:type="dxa" w:w="54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Máximo grado académico</w:t>
            </w:r>
          </w:p>
        </w:tc>
        <w:tc>
          <w:tcPr>
            <w:tcW w:type="dxa" w:w="54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Especialidad</w:t>
            </w:r>
          </w:p>
        </w:tc>
        <w:tc>
          <w:tcPr>
            <w:tcW w:type="dxa" w:w="54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Nacionalidad</w:t>
            </w:r>
          </w:p>
        </w:tc>
        <w:tc>
          <w:tcPr>
            <w:tcW w:type="dxa" w:w="54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Institución laboral</w:t>
            </w:r>
          </w:p>
        </w:tc>
        <w:tc>
          <w:tcPr>
            <w:tcW w:type="dxa" w:w="54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Labor que desempeña</w:t>
            </w:r>
          </w:p>
        </w:tc>
        <w:tc>
          <w:tcPr>
            <w:tcW w:type="dxa" w:w="54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Número telefónico</w:t>
            </w:r>
          </w:p>
        </w:tc>
        <w:tc>
          <w:tcPr>
            <w:tcW w:type="dxa" w:w="54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Correo electrónico</w:t>
            </w:r>
          </w:p>
        </w:tc>
        <w:tc>
          <w:tcPr>
            <w:tcW w:type="dxa" w:w="54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Firma</w:t>
            </w:r>
          </w:p>
        </w:tc>
        <w:tc>
          <w:tcPr>
            <w:tcW w:type="dxa" w:w="54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Fecha</w:t>
            </w:r>
          </w:p>
        </w:tc>
        <w:tc>
          <w:tcPr>
            <w:tcW w:type="dxa" w:w="542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10"/>
            </w:pPr>
            <w:r>
              <w:rPr>
                <w:rFonts w:ascii="Arial" w:cs="Arial" w:eastAsia="Arial" w:hAnsi="Arial"/>
                <w:b w:val="false"/>
                <w:bCs w:val="false"/>
                <w:sz w:val="18"/>
                <w:szCs w:val="18"/>
              </w:rPr>
              <w:t xml:space="preserve">DD / MM / AAAA</w:t>
            </w:r>
          </w:p>
        </w:tc>
      </w:tr>
    </w:tbl>
    <w:p>
      <w:pPr>
        <w:spacing w:after="200" w:line="300"/>
        <w:jc w:val="both"/>
      </w:pPr>
      <w:r>
        <w:rPr>
          <w:rFonts w:ascii="Arial" w:cs="Arial" w:eastAsia="Arial" w:hAnsi="Arial"/>
          <w:sz w:val="22"/>
          <w:szCs w:val="22"/>
          <w:highlight w:val="yellow"/>
        </w:rPr>
        <w:t xml:space="preserve">Adjuntar la captura del Registro Nacional de Grados Académicos y Títulos Profesionales (SUNEDU) del experto.</w:t>
      </w:r>
    </w:p>
    <w:p>
      <w:pPr>
        <w:pStyle w:val="Heading1"/>
        <w:spacing w:after="120" w:before="200"/>
      </w:pPr>
      <w:r>
        <w:rPr>
          <w:rFonts w:ascii="Arial" w:cs="Arial" w:eastAsia="Arial" w:hAnsi="Arial"/>
          <w:b/>
          <w:bCs/>
          <w:color w:val="1F3864"/>
          <w:sz w:val="24"/>
          <w:szCs w:val="24"/>
        </w:rPr>
        <w:t xml:space="preserve">8. Uso de los resultados (para los investigadores)</w:t>
      </w:r>
    </w:p>
    <w:p>
      <w:pPr>
        <w:spacing w:after="110" w:line="300"/>
        <w:jc w:val="both"/>
      </w:pPr>
      <w:r>
        <w:rPr>
          <w:rFonts w:ascii="Arial" w:cs="Arial" w:eastAsia="Arial" w:hAnsi="Arial"/>
          <w:sz w:val="22"/>
          <w:szCs w:val="22"/>
        </w:rPr>
        <w:t xml:space="preserve">Transcriba las calificaciones de cada juez en las hojas Juez1, Juez2 y Juez3 del archivo Validacion_Expertos_V_Aiken.xlsx. La hoja Resultados calcula V = S / [n(c − 1)] por ítem y criterio (Aiken, 1985), con n = 3 y c = 2. Regla de decisión: V = 1,00, válido; V = 0,67, revisar según las observaciones; V ≤ 0,33, reformular. Los ítems corregidos deben volver a enviarse al juez que los observó.</w:t>
      </w:r>
    </w:p>
    <w:p>
      <w:pPr>
        <w:spacing w:after="110" w:line="300"/>
        <w:jc w:val="both"/>
      </w:pPr>
      <w:r>
        <w:rPr>
          <w:rFonts w:ascii="Arial" w:cs="Arial" w:eastAsia="Arial" w:hAnsi="Arial"/>
          <w:b/>
          <w:bCs/>
          <w:sz w:val="22"/>
          <w:szCs w:val="22"/>
        </w:rPr>
        <w:t xml:space="preserve">Integridad:</w:t>
      </w:r>
      <w:r>
        <w:rPr>
          <w:rFonts w:ascii="Arial" w:cs="Arial" w:eastAsia="Arial" w:hAnsi="Arial"/>
          <w:sz w:val="22"/>
          <w:szCs w:val="22"/>
        </w:rPr>
        <w:t xml:space="preserve"> en el informe debe consignarse la </w:t>
      </w:r>
      <w:r>
        <w:rPr>
          <w:rFonts w:ascii="Arial" w:cs="Arial" w:eastAsia="Arial" w:hAnsi="Arial"/>
          <w:b/>
          <w:bCs/>
          <w:sz w:val="22"/>
          <w:szCs w:val="22"/>
        </w:rPr>
        <w:t xml:space="preserve">fecha real</w:t>
      </w:r>
      <w:r>
        <w:rPr>
          <w:rFonts w:ascii="Arial" w:cs="Arial" w:eastAsia="Arial" w:hAnsi="Arial"/>
          <w:sz w:val="22"/>
          <w:szCs w:val="22"/>
        </w:rPr>
        <w:t xml:space="preserve"> de la validación. Si fue posterior al inicio del pretest (3 de agosto de 2026), la metodología debe decirlo así y no presentarla como previa.</w:t>
      </w:r>
    </w:p>
    <w:p>
      <w:pPr>
        <w:spacing w:after="110" w:line="300"/>
        <w:jc w:val="both"/>
      </w:pPr>
      <w:r>
        <w:rPr>
          <w:rFonts w:ascii="Arial" w:cs="Arial" w:eastAsia="Arial" w:hAnsi="Arial"/>
          <w:sz w:val="18"/>
          <w:szCs w:val="18"/>
        </w:rPr>
        <w:t xml:space="preserve">Referencias: L. R. Aiken, "Three coefficients for analyzing the reliability and validity of ratings," Educ. Psychol. Meas., vol. 45, no. 1, pp. 131–142, 1985. J. Escobar-Pérez y Á. Cuervo-Martínez, "Validez de contenido y juicio de expertos: una aproximación a su utilización," Av. Medición, vol. 6, pp. 27–36, 2008.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2026-09-26T21:48:28.495Z</dcterms:created>
  <dcterms:modified xsi:type="dcterms:W3CDTF">2026-09-26T21:48:28.495Z</dcterms:modified>
</cp:coreProperties>
</file>

<file path=docProps/custom.xml><?xml version="1.0" encoding="utf-8"?>
<Properties xmlns="http://schemas.openxmlformats.org/officeDocument/2006/custom-properties" xmlns:vt="http://schemas.openxmlformats.org/officeDocument/2006/docPropsVTypes"/>
</file>