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76"/>
        <w:jc w:val="center"/>
      </w:pPr>
      <w:r>
        <w:rPr>
          <w:rFonts w:ascii="Arial" w:cs="Arial" w:eastAsia="Arial" w:hAnsi="Arial"/>
          <w:b/>
          <w:bCs/>
          <w:sz w:val="36"/>
          <w:szCs w:val="36"/>
        </w:rPr>
        <w:t xml:space="preserve">FACULTAD DE INGENIERÍA Y ARQUITECTURA</w:t>
      </w:r>
    </w:p>
    <w:p>
      <w:pPr>
        <w:spacing w:after="900" w:before="0" w:line="276"/>
        <w:jc w:val="center"/>
      </w:pPr>
      <w:r>
        <w:rPr>
          <w:rFonts w:ascii="Arial" w:cs="Arial" w:eastAsia="Arial" w:hAnsi="Arial"/>
          <w:b/>
          <w:bCs/>
          <w:sz w:val="32"/>
          <w:szCs w:val="32"/>
        </w:rPr>
        <w:t xml:space="preserve">ESCUELA PROFESIONAL DE INGENIERÍA DE SISTEMAS</w:t>
      </w:r>
    </w:p>
    <w:p>
      <w:pPr>
        <w:spacing w:after="600" w:before="0" w:line="276"/>
        <w:jc w:val="center"/>
      </w:pPr>
      <w:r>
        <w:rPr>
          <w:rFonts w:ascii="Arial" w:cs="Arial" w:eastAsia="Arial" w:hAnsi="Arial"/>
          <w:b/>
          <w:bCs/>
          <w:sz w:val="28"/>
          <w:szCs w:val="28"/>
        </w:rPr>
        <w:t xml:space="preserve">Sistema web con chatbot para la gestión de pacientes en una fundación oncológica privada de Lima, 2026</w:t>
      </w:r>
    </w:p>
    <w:p>
      <w:pPr>
        <w:spacing w:after="60" w:before="0" w:line="276"/>
        <w:jc w:val="center"/>
      </w:pPr>
      <w:r>
        <w:rPr>
          <w:rFonts w:ascii="Arial" w:cs="Arial" w:eastAsia="Arial" w:hAnsi="Arial"/>
          <w:b/>
          <w:bCs/>
          <w:sz w:val="24"/>
          <w:szCs w:val="24"/>
        </w:rPr>
        <w:t xml:space="preserve">TESIS PARA OBTENER EL TÍTULO PROFESIONAL DE:</w:t>
      </w:r>
    </w:p>
    <w:p>
      <w:pPr>
        <w:spacing w:after="480" w:before="0" w:line="276"/>
        <w:jc w:val="center"/>
      </w:pPr>
      <w:r>
        <w:rPr>
          <w:rFonts w:ascii="Arial" w:cs="Arial" w:eastAsia="Arial" w:hAnsi="Arial"/>
          <w:b w:val="false"/>
          <w:bCs w:val="false"/>
          <w:sz w:val="24"/>
          <w:szCs w:val="24"/>
        </w:rPr>
        <w:t xml:space="preserve">Ingeniero de Sistemas</w:t>
      </w:r>
    </w:p>
    <w:p>
      <w:pPr>
        <w:spacing w:after="60" w:before="0" w:line="276"/>
        <w:jc w:val="center"/>
      </w:pPr>
      <w:r>
        <w:rPr>
          <w:rFonts w:ascii="Arial" w:cs="Arial" w:eastAsia="Arial" w:hAnsi="Arial"/>
          <w:b/>
          <w:bCs/>
          <w:sz w:val="24"/>
          <w:szCs w:val="24"/>
        </w:rPr>
        <w:t xml:space="preserve">AUTORES:</w:t>
      </w:r>
    </w:p>
    <w:p>
      <w:pPr>
        <w:spacing w:after="0" w:before="0" w:line="276"/>
        <w:jc w:val="center"/>
      </w:pPr>
      <w:r>
        <w:rPr>
          <w:rFonts w:ascii="Arial" w:cs="Arial" w:eastAsia="Arial" w:hAnsi="Arial"/>
          <w:b w:val="false"/>
          <w:bCs w:val="false"/>
          <w:sz w:val="24"/>
          <w:szCs w:val="24"/>
        </w:rPr>
        <w:t xml:space="preserve">Arnao Fretel, Jasmin (orcid.org/0000-0001-6120-892X)</w:t>
      </w:r>
    </w:p>
    <w:p>
      <w:pPr>
        <w:spacing w:after="480" w:before="0" w:line="276"/>
        <w:jc w:val="center"/>
      </w:pPr>
      <w:r>
        <w:rPr>
          <w:rFonts w:ascii="Arial" w:cs="Arial" w:eastAsia="Arial" w:hAnsi="Arial"/>
          <w:b w:val="false"/>
          <w:bCs w:val="false"/>
          <w:sz w:val="24"/>
          <w:szCs w:val="24"/>
        </w:rPr>
        <w:t xml:space="preserve">Davila Anchante, Eros Matias (orcid.org/0000-0002-1521-8366)</w:t>
      </w:r>
    </w:p>
    <w:p>
      <w:pPr>
        <w:spacing w:after="60" w:before="0" w:line="276"/>
        <w:jc w:val="center"/>
      </w:pPr>
      <w:r>
        <w:rPr>
          <w:rFonts w:ascii="Arial" w:cs="Arial" w:eastAsia="Arial" w:hAnsi="Arial"/>
          <w:b/>
          <w:bCs/>
          <w:sz w:val="24"/>
          <w:szCs w:val="24"/>
        </w:rPr>
        <w:t xml:space="preserve">ASESOR:</w:t>
      </w:r>
    </w:p>
    <w:p>
      <w:pPr>
        <w:spacing w:after="480" w:before="0" w:line="276"/>
        <w:jc w:val="center"/>
      </w:pPr>
      <w:r>
        <w:rPr>
          <w:rFonts w:ascii="Arial" w:cs="Arial" w:eastAsia="Arial" w:hAnsi="Arial"/>
          <w:b w:val="false"/>
          <w:bCs w:val="false"/>
          <w:sz w:val="24"/>
          <w:szCs w:val="24"/>
        </w:rPr>
        <w:t xml:space="preserve">Mgtr. Pérez Farfán, Iván Martín (orcid.org/0000-0001-5833-9400)</w:t>
      </w:r>
    </w:p>
    <w:p>
      <w:pPr>
        <w:spacing w:after="60" w:before="0" w:line="276"/>
        <w:jc w:val="center"/>
      </w:pPr>
      <w:r>
        <w:rPr>
          <w:rFonts w:ascii="Arial" w:cs="Arial" w:eastAsia="Arial" w:hAnsi="Arial"/>
          <w:b/>
          <w:bCs/>
          <w:sz w:val="24"/>
          <w:szCs w:val="24"/>
        </w:rPr>
        <w:t xml:space="preserve">LÍNEA DE INVESTIGACIÓN:</w:t>
      </w:r>
    </w:p>
    <w:p>
      <w:pPr>
        <w:spacing w:after="480" w:before="0" w:line="276"/>
        <w:jc w:val="center"/>
      </w:pPr>
      <w:r>
        <w:rPr>
          <w:rFonts w:ascii="Arial" w:cs="Arial" w:eastAsia="Arial" w:hAnsi="Arial"/>
          <w:b w:val="false"/>
          <w:bCs w:val="false"/>
          <w:sz w:val="24"/>
          <w:szCs w:val="24"/>
        </w:rPr>
        <w:t xml:space="preserve">Sistema de Información y Comunicaciones</w:t>
      </w:r>
    </w:p>
    <w:p>
      <w:pPr>
        <w:spacing w:after="60" w:before="0" w:line="276"/>
        <w:jc w:val="center"/>
      </w:pPr>
      <w:r>
        <w:rPr>
          <w:rFonts w:ascii="Arial" w:cs="Arial" w:eastAsia="Arial" w:hAnsi="Arial"/>
          <w:b/>
          <w:bCs/>
          <w:sz w:val="24"/>
          <w:szCs w:val="24"/>
        </w:rPr>
        <w:t xml:space="preserve">LÍNEA DE RESPONSABILIDAD SOCIAL UNIVERSITARIA:</w:t>
      </w:r>
    </w:p>
    <w:p>
      <w:pPr>
        <w:spacing w:after="900" w:before="0" w:line="276"/>
        <w:jc w:val="center"/>
      </w:pPr>
      <w:r>
        <w:rPr>
          <w:rFonts w:ascii="Arial" w:cs="Arial" w:eastAsia="Arial" w:hAnsi="Arial"/>
          <w:b w:val="false"/>
          <w:bCs w:val="false"/>
          <w:sz w:val="24"/>
          <w:szCs w:val="24"/>
        </w:rPr>
        <w:t xml:space="preserve">Desarrollo económico, empleo y emprendimiento</w:t>
      </w:r>
    </w:p>
    <w:p>
      <w:pPr>
        <w:spacing w:after="60" w:before="0" w:line="276"/>
        <w:jc w:val="center"/>
      </w:pPr>
      <w:r>
        <w:rPr>
          <w:rFonts w:ascii="Arial" w:cs="Arial" w:eastAsia="Arial" w:hAnsi="Arial"/>
          <w:b/>
          <w:bCs/>
          <w:sz w:val="24"/>
          <w:szCs w:val="24"/>
        </w:rPr>
        <w:t xml:space="preserve">LIMA — PERÚ</w:t>
      </w:r>
    </w:p>
    <w:p>
      <w:pPr>
        <w:spacing w:after="0" w:before="0" w:line="276"/>
        <w:jc w:val="center"/>
      </w:pPr>
      <w:r>
        <w:rPr>
          <w:rFonts w:ascii="Arial" w:cs="Arial" w:eastAsia="Arial" w:hAnsi="Arial"/>
          <w:b/>
          <w:bCs/>
          <w:sz w:val="24"/>
          <w:szCs w:val="24"/>
        </w:rPr>
        <w:t xml:space="preserve">2026</w:t>
      </w:r>
    </w:p>
    <w:p>
      <w:pPr>
        <w:sectPr>
          <w:footerReference w:type="default" r:id="rId7"/>
          <w:pgSz w:w="11906" w:h="16838" w:orient="portrait"/>
          <w:pgMar w:top="1440" w:right="1440" w:bottom="1440" w:left="1440" w:header="708" w:footer="708" w:gutter="0"/>
          <w:pgNumType/>
          <w:docGrid w:linePitch="360"/>
        </w:sectPr>
      </w:pPr>
    </w:p>
    <w:p>
      <w:pPr>
        <w:pStyle w:val="Heading1"/>
        <w:spacing w:after="240" w:line="360"/>
        <w:jc w:val="left"/>
      </w:pPr>
      <w:r>
        <w:rPr>
          <w:rFonts w:ascii="Arial" w:cs="Arial" w:eastAsia="Arial" w:hAnsi="Arial"/>
          <w:b/>
          <w:bCs/>
          <w:sz w:val="24"/>
          <w:szCs w:val="24"/>
        </w:rPr>
        <w:t xml:space="preserve">Declaratoria de autenticidad del asesor</w:t>
      </w:r>
    </w:p>
    <w:p>
      <w:pPr>
        <w:spacing w:after="120" w:before="0" w:line="360"/>
        <w:jc w:val="both"/>
      </w:pPr>
      <w:r>
        <w:rPr>
          <w:rFonts w:ascii="Arial" w:cs="Arial" w:eastAsia="Arial" w:hAnsi="Arial"/>
          <w:sz w:val="24"/>
          <w:szCs w:val="24"/>
          <w:highlight w:val="yellow"/>
        </w:rPr>
        <w:t xml:space="preserve">Documento generado y firmado en la plataforma Trilce. Insertar la versión descargada.</w:t>
      </w:r>
    </w:p>
    <w:p>
      <w:pPr>
        <w:pStyle w:val="Heading1"/>
        <w:pageBreakBefore/>
        <w:spacing w:after="240" w:line="360"/>
        <w:jc w:val="left"/>
      </w:pPr>
      <w:r>
        <w:rPr>
          <w:rFonts w:ascii="Arial" w:cs="Arial" w:eastAsia="Arial" w:hAnsi="Arial"/>
          <w:b/>
          <w:bCs/>
          <w:sz w:val="24"/>
          <w:szCs w:val="24"/>
        </w:rPr>
        <w:t xml:space="preserve">Declaratoria de originalidad de los autores</w:t>
      </w:r>
    </w:p>
    <w:p>
      <w:pPr>
        <w:spacing w:after="120" w:before="0" w:line="360"/>
        <w:jc w:val="both"/>
      </w:pPr>
      <w:r>
        <w:rPr>
          <w:rFonts w:ascii="Arial" w:cs="Arial" w:eastAsia="Arial" w:hAnsi="Arial"/>
          <w:sz w:val="24"/>
          <w:szCs w:val="24"/>
          <w:highlight w:val="yellow"/>
        </w:rPr>
        <w:t xml:space="preserve">Documento generado y firmado en la plataforma Trilce. Insertar la versión descargada.</w:t>
      </w:r>
    </w:p>
    <w:p>
      <w:pPr>
        <w:pStyle w:val="Heading1"/>
        <w:pageBreakBefore/>
        <w:spacing w:after="240" w:line="360"/>
        <w:jc w:val="left"/>
      </w:pPr>
      <w:r>
        <w:rPr>
          <w:rFonts w:ascii="Arial" w:cs="Arial" w:eastAsia="Arial" w:hAnsi="Arial"/>
          <w:b/>
          <w:bCs/>
          <w:sz w:val="24"/>
          <w:szCs w:val="24"/>
        </w:rPr>
        <w:t xml:space="preserve">Dedicatoria</w:t>
      </w:r>
    </w:p>
    <w:p>
      <w:pPr>
        <w:spacing w:after="120" w:before="0" w:line="360"/>
        <w:ind w:left="4252"/>
        <w:jc w:val="both"/>
      </w:pPr>
      <w:r>
        <w:rPr>
          <w:rFonts w:ascii="Arial" w:cs="Arial" w:eastAsia="Arial" w:hAnsi="Arial"/>
          <w:sz w:val="24"/>
          <w:szCs w:val="24"/>
          <w:highlight w:val="yellow"/>
        </w:rPr>
        <w:t xml:space="preserve">Redactar en frases cortas; máximo una página.</w:t>
      </w:r>
    </w:p>
    <w:p>
      <w:pPr>
        <w:pStyle w:val="Heading1"/>
        <w:pageBreakBefore/>
        <w:spacing w:after="240" w:line="360"/>
        <w:jc w:val="left"/>
      </w:pPr>
      <w:r>
        <w:rPr>
          <w:rFonts w:ascii="Arial" w:cs="Arial" w:eastAsia="Arial" w:hAnsi="Arial"/>
          <w:b/>
          <w:bCs/>
          <w:sz w:val="24"/>
          <w:szCs w:val="24"/>
        </w:rPr>
        <w:t xml:space="preserve">Agradecimiento</w:t>
      </w:r>
    </w:p>
    <w:p>
      <w:pPr>
        <w:spacing w:after="120" w:before="0" w:line="360"/>
        <w:ind w:left="4252"/>
        <w:jc w:val="both"/>
      </w:pPr>
      <w:r>
        <w:rPr>
          <w:rFonts w:ascii="Arial" w:cs="Arial" w:eastAsia="Arial" w:hAnsi="Arial"/>
          <w:sz w:val="24"/>
          <w:szCs w:val="24"/>
          <w:highlight w:val="yellow"/>
        </w:rPr>
        <w:t xml:space="preserve">Mencionar solo a las personas e instituciones que colaboraron de forma directa y formal con la investigación (asesor, fundación, jueces expertos); máximo una página.</w:t>
      </w:r>
    </w:p>
    <w:p>
      <w:pPr>
        <w:pStyle w:val="Heading1"/>
        <w:pageBreakBefore/>
        <w:spacing w:after="240" w:line="360"/>
        <w:jc w:val="left"/>
      </w:pPr>
      <w:r>
        <w:rPr>
          <w:rFonts w:ascii="Arial" w:cs="Arial" w:eastAsia="Arial" w:hAnsi="Arial"/>
          <w:b/>
          <w:bCs/>
          <w:sz w:val="24"/>
          <w:szCs w:val="24"/>
        </w:rPr>
        <w:t xml:space="preserve">Índice de contenidos</w:t>
      </w:r>
    </w:p>
    <w:sdt>
      <w:sdtPr>
        <w:alias w:val="Índice de contenidos"/>
      </w:sdtPr>
      <w:sdtContent>
        <w:p>
          <w:r>
            <w:fldChar w:fldCharType="begin" w:dirty="true"/>
            <w:instrText xml:space="preserve">TOC \h \o "1-2"</w:instrText>
            <w:fldChar w:fldCharType="separate"/>
          </w:r>
        </w:p>
        <w:p>
          <w:r>
            <w:fldChar w:fldCharType="end"/>
          </w:r>
        </w:p>
      </w:sdtContent>
    </w:sdt>
    <w:p>
      <w:pPr>
        <w:pStyle w:val="Heading1"/>
        <w:pageBreakBefore/>
        <w:spacing w:after="240" w:line="360"/>
        <w:jc w:val="left"/>
      </w:pPr>
      <w:r>
        <w:rPr>
          <w:rFonts w:ascii="Arial" w:cs="Arial" w:eastAsia="Arial" w:hAnsi="Arial"/>
          <w:b/>
          <w:bCs/>
          <w:sz w:val="24"/>
          <w:szCs w:val="24"/>
        </w:rPr>
        <w:t xml:space="preserve">Índice de tablas</w:t>
      </w:r>
    </w:p>
    <w:sdt>
      <w:sdtPr>
        <w:alias w:val="Índice de tablas"/>
      </w:sdtPr>
      <w:sdtContent>
        <w:p>
          <w:r>
            <w:fldChar w:fldCharType="begin" w:dirty="true"/>
            <w:instrText xml:space="preserve">TOC \h \t "TablaTitulo,1"</w:instrText>
            <w:fldChar w:fldCharType="separate"/>
          </w:r>
        </w:p>
        <w:p>
          <w:r>
            <w:fldChar w:fldCharType="end"/>
          </w:r>
        </w:p>
      </w:sdtContent>
    </w:sdt>
    <w:p>
      <w:pPr>
        <w:pStyle w:val="Heading1"/>
        <w:pageBreakBefore/>
        <w:spacing w:after="240" w:line="360"/>
        <w:jc w:val="left"/>
      </w:pPr>
      <w:r>
        <w:rPr>
          <w:rFonts w:ascii="Arial" w:cs="Arial" w:eastAsia="Arial" w:hAnsi="Arial"/>
          <w:b/>
          <w:bCs/>
          <w:sz w:val="24"/>
          <w:szCs w:val="24"/>
        </w:rPr>
        <w:t xml:space="preserve">Resumen</w:t>
      </w:r>
    </w:p>
    <w:p>
      <w:pPr>
        <w:spacing w:after="120" w:before="0" w:line="360"/>
        <w:jc w:val="both"/>
      </w:pPr>
      <w:r>
        <w:rPr>
          <w:rFonts w:ascii="Arial" w:cs="Arial" w:eastAsia="Arial" w:hAnsi="Arial"/>
          <w:sz w:val="24"/>
          <w:szCs w:val="24"/>
        </w:rPr>
        <w:t xml:space="preserve">La presente investigación tuvo como propósito contribuir al Objetivo de Desarrollo Sostenible 3, Salud y bienestar. Su objetivo fue determinar la influencia de un sistema web con chatbot para la gestión de pacientes en una fundación oncológica privada de Lima, 2026. Se desarrolló una investigación aplicada, de enfoque cuantitativo y diseño preexperimental con preprueba y posprueba en un solo grupo. La población estuvo conformada por los procesos de registro, citas y consultas de la institución, con 30 pacientes como muestra de referencia, y la comparación se realizó sobre 13 sesiones de observación antes y 13 después de la implementación, mediante una ficha de registro de tiempos y una ficha de registro de gestión de pacientes validadas por juicio de expertos. </w:t>
      </w:r>
      <w:r>
        <w:rPr>
          <w:rFonts w:ascii="Arial" w:cs="Arial" w:eastAsia="Arial" w:hAnsi="Arial"/>
          <w:sz w:val="24"/>
          <w:szCs w:val="24"/>
          <w:highlight w:val="yellow"/>
        </w:rPr>
        <w:t xml:space="preserve">Resultados: consignar los valores pretest y postest del tiempo promedio de registro, la tasa de ausentismo y el nivel de consultas atendidas, con su significancia estadística.</w:t>
      </w:r>
      <w:r>
        <w:rPr>
          <w:rFonts w:ascii="Arial" w:cs="Arial" w:eastAsia="Arial" w:hAnsi="Arial"/>
          <w:sz w:val="24"/>
          <w:szCs w:val="24"/>
        </w:rPr>
        <w:t xml:space="preserve"> </w:t>
      </w:r>
      <w:r>
        <w:rPr>
          <w:rFonts w:ascii="Arial" w:cs="Arial" w:eastAsia="Arial" w:hAnsi="Arial"/>
          <w:sz w:val="24"/>
          <w:szCs w:val="24"/>
          <w:highlight w:val="yellow"/>
        </w:rPr>
        <w:t xml:space="preserve">Conclusión principal.</w:t>
      </w:r>
    </w:p>
    <w:p>
      <w:pPr>
        <w:spacing w:after="120" w:before="0" w:line="360"/>
        <w:jc w:val="both"/>
      </w:pPr>
      <w:r>
        <w:rPr>
          <w:rFonts w:ascii="Arial" w:cs="Arial" w:eastAsia="Arial" w:hAnsi="Arial"/>
          <w:sz w:val="24"/>
          <w:szCs w:val="24"/>
        </w:rPr>
        <w:t xml:space="preserve">Palabras clave: </w:t>
      </w:r>
      <w:r>
        <w:rPr>
          <w:rFonts w:ascii="Arial" w:cs="Arial" w:eastAsia="Arial" w:hAnsi="Arial"/>
          <w:sz w:val="24"/>
          <w:szCs w:val="24"/>
          <w:highlight w:val="yellow"/>
        </w:rPr>
        <w:t xml:space="preserve">proponer de tres a cinco términos verificados en el tesauro de la UNESCO o DeCS; por ejemplo, sistemas de información, citas y horarios, pacientes no presentados, inteligencia artificial</w:t>
      </w:r>
      <w:r>
        <w:rPr>
          <w:rFonts w:ascii="Arial" w:cs="Arial" w:eastAsia="Arial" w:hAnsi="Arial"/>
          <w:sz w:val="24"/>
          <w:szCs w:val="24"/>
        </w:rPr>
        <w:t xml:space="preserve">.</w:t>
      </w:r>
    </w:p>
    <w:p>
      <w:pPr>
        <w:pStyle w:val="Heading1"/>
        <w:pageBreakBefore/>
        <w:spacing w:after="240" w:line="360"/>
        <w:jc w:val="left"/>
      </w:pPr>
      <w:r>
        <w:rPr>
          <w:rFonts w:ascii="Arial" w:cs="Arial" w:eastAsia="Arial" w:hAnsi="Arial"/>
          <w:b/>
          <w:bCs/>
          <w:sz w:val="24"/>
          <w:szCs w:val="24"/>
        </w:rPr>
        <w:t xml:space="preserve">Abstract</w:t>
      </w:r>
    </w:p>
    <w:p>
      <w:pPr>
        <w:spacing w:after="120" w:before="0" w:line="360"/>
        <w:jc w:val="both"/>
      </w:pPr>
      <w:r>
        <w:rPr>
          <w:rFonts w:ascii="Arial" w:cs="Arial" w:eastAsia="Arial" w:hAnsi="Arial"/>
          <w:sz w:val="24"/>
          <w:szCs w:val="24"/>
        </w:rPr>
        <w:t xml:space="preserve">This research aimed to contribute to Sustainable Development Goal 3, Good Health and Well-being. Its objective was to determine the influence of a web system with a chatbot on patient management in a private oncology foundation in Lima. An applied, quantitative study with a pre-experimental one-group pretest–posttest design was conducted. The population comprised the institution’s registration, appointment and inquiry processes, with 30 patients as the reference sample, and the comparison was based on 13 observation sessions before and 13 after implementation, using a time-recording form and a patient-management recording form validated by expert judgment. </w:t>
      </w:r>
      <w:r>
        <w:rPr>
          <w:rFonts w:ascii="Arial" w:cs="Arial" w:eastAsia="Arial" w:hAnsi="Arial"/>
          <w:sz w:val="24"/>
          <w:szCs w:val="24"/>
          <w:highlight w:val="yellow"/>
        </w:rPr>
        <w:t xml:space="preserve">Results.</w:t>
      </w:r>
      <w:r>
        <w:rPr>
          <w:rFonts w:ascii="Arial" w:cs="Arial" w:eastAsia="Arial" w:hAnsi="Arial"/>
          <w:sz w:val="24"/>
          <w:szCs w:val="24"/>
        </w:rPr>
        <w:t xml:space="preserve"> </w:t>
      </w:r>
      <w:r>
        <w:rPr>
          <w:rFonts w:ascii="Arial" w:cs="Arial" w:eastAsia="Arial" w:hAnsi="Arial"/>
          <w:sz w:val="24"/>
          <w:szCs w:val="24"/>
          <w:highlight w:val="yellow"/>
        </w:rPr>
        <w:t xml:space="preserve">Main conclusion.</w:t>
      </w:r>
    </w:p>
    <w:p>
      <w:pPr>
        <w:spacing w:after="120" w:before="0" w:line="360"/>
        <w:jc w:val="both"/>
      </w:pPr>
      <w:r>
        <w:rPr>
          <w:rFonts w:ascii="Arial" w:cs="Arial" w:eastAsia="Arial" w:hAnsi="Arial"/>
          <w:sz w:val="24"/>
          <w:szCs w:val="24"/>
        </w:rPr>
        <w:t xml:space="preserve">Keywords: </w:t>
      </w:r>
      <w:r>
        <w:rPr>
          <w:rFonts w:ascii="Arial" w:cs="Arial" w:eastAsia="Arial" w:hAnsi="Arial"/>
          <w:sz w:val="24"/>
          <w:szCs w:val="24"/>
          <w:highlight w:val="yellow"/>
        </w:rPr>
        <w:t xml:space="preserve">English equivalents of the selected thesaurus terms</w:t>
      </w:r>
      <w:r>
        <w:rPr>
          <w:rFonts w:ascii="Arial" w:cs="Arial" w:eastAsia="Arial" w:hAnsi="Arial"/>
          <w:sz w:val="24"/>
          <w:szCs w:val="24"/>
        </w:rPr>
        <w:t xml:space="preserve">.</w:t>
      </w:r>
    </w:p>
    <w:p>
      <w:pPr>
        <w:sectPr>
          <w:footerReference w:type="default" r:id="rId8"/>
          <w:pgSz w:w="11906" w:h="16838" w:orient="portrait"/>
          <w:pgMar w:top="1440" w:right="1440" w:bottom="1440" w:left="1440" w:header="708" w:footer="708" w:gutter="0"/>
          <w:pgNumType w:start="2" w:fmt="lowerRoman"/>
          <w:docGrid w:linePitch="360"/>
        </w:sectPr>
      </w:pPr>
    </w:p>
    <w:p>
      <w:pPr>
        <w:pStyle w:val="Heading1"/>
        <w:spacing w:after="240" w:line="360"/>
        <w:jc w:val="left"/>
      </w:pPr>
      <w:r>
        <w:rPr>
          <w:rFonts w:ascii="Arial" w:cs="Arial" w:eastAsia="Arial" w:hAnsi="Arial"/>
          <w:b/>
          <w:bCs/>
          <w:sz w:val="24"/>
          <w:szCs w:val="24"/>
        </w:rPr>
        <w:t xml:space="preserve">I. INTRODUCCIÓN</w:t>
      </w:r>
    </w:p>
    <w:p>
      <w:pPr>
        <w:spacing w:after="120" w:before="0" w:line="360"/>
        <w:jc w:val="both"/>
      </w:pPr>
      <w:r>
        <w:rPr>
          <w:rFonts w:ascii="Arial" w:cs="Arial" w:eastAsia="Arial" w:hAnsi="Arial"/>
          <w:sz w:val="24"/>
          <w:szCs w:val="24"/>
        </w:rPr>
        <w:t xml:space="preserve">La gestión de los servicios de salud se consolidó, en los últimos años, como uno de los principales desafíos de las instituciones sanitarias, y el campo oncológico no fue la excepción. En 2022, el cáncer figuró entre las principales causas de mortalidad en el mundo, y apenas diez de sus tipos concentraron cerca de dos tercios de los casos nuevos y de las defunciones registradas ese año [1]. Una carga de esa magnitud no solo exigió respuestas clínicas; también tensionó los procesos administrativos que sostienen la atención, porque cada paciente nuevo supuso un registro adicional, una secuencia de citas por programar y un flujo constante de consultas por responder.</w:t>
      </w:r>
    </w:p>
    <w:p>
      <w:pPr>
        <w:spacing w:after="120" w:before="0" w:line="360"/>
        <w:jc w:val="both"/>
      </w:pPr>
      <w:r>
        <w:rPr>
          <w:rFonts w:ascii="Arial" w:cs="Arial" w:eastAsia="Arial" w:hAnsi="Arial"/>
          <w:sz w:val="24"/>
          <w:szCs w:val="24"/>
        </w:rPr>
        <w:t xml:space="preserve">Frente a esa presión, muchas instituciones de salud optaron por incorporar herramientas digitales. Nadarzynski et al. [2], en una revisión rápida sobre el papel de los chatbots en la atención sanitaria, encontraron que estas herramientas se emplearon principalmente en dos frentes: por un lado, la prestación de servicios remotos de apoyo al paciente, incluido el seguimiento de enfermedades crónicas; por otro, el soporte a tareas administrativas en clínicas, hospitales y otros establecimientos. Este segundo uso resultó especialmente relevante para organizaciones con alta carga operativa, donde un mismo equipo administrativo asumía a la vez el registro de pacientes, la programación de citas y la atención de consultas, y donde la dependencia de procedimientos manuales tendía a alargar los tiempos de atención.</w:t>
      </w:r>
    </w:p>
    <w:p>
      <w:pPr>
        <w:spacing w:after="120" w:before="0" w:line="360"/>
        <w:jc w:val="both"/>
      </w:pPr>
      <w:r>
        <w:rPr>
          <w:rFonts w:ascii="Arial" w:cs="Arial" w:eastAsia="Arial" w:hAnsi="Arial"/>
          <w:sz w:val="24"/>
          <w:szCs w:val="24"/>
        </w:rPr>
        <w:t xml:space="preserve">La literatura, sin embargo, mostró una distribución desigual del interés científico. La revisión bibliométrica de Cortés Torres et al. [3], que examinó cincuenta artículos sobre chatbots aplicados a la salud, evidenció que la mayor parte de los estudios se concentró en la salud mental y en la educación médica, con predominio de enfoques descriptivos, experimentales y cuantitativos. Han y Zhao [4] llegaron a una conclusión convergente desde un análisis bibliométrico centrado específicamente en salud mental. En contraste, la aplicación de agentes conversacionales a la gestión administrativa de pacientes oncológicos recibió bastante menos atención, lo que dejó abierto un vacío de conocimiento que la presente investigación buscó atender.</w:t>
      </w:r>
    </w:p>
    <w:p>
      <w:pPr>
        <w:spacing w:after="120" w:before="0" w:line="360"/>
        <w:jc w:val="both"/>
      </w:pPr>
      <w:r>
        <w:rPr>
          <w:rFonts w:ascii="Arial" w:cs="Arial" w:eastAsia="Arial" w:hAnsi="Arial"/>
          <w:sz w:val="24"/>
          <w:szCs w:val="24"/>
        </w:rPr>
        <w:t xml:space="preserve">Aun así, los hallazgos disponibles fueron alentadores. Kurniawan et al. [5], en una revisión sistemática sobre intervenciones con chatbots impulsados por inteligencia artificial para el manejo de enfermedades crónicas, reportaron mejoras en la adherencia terapéutica y en el seguimiento continuo de los pacientes, atribuidas en buena medida a los recordatorios automatizados y a la disponibilidad permanente de un canal de comunicación con la institución. En el ámbito oncológico, Wang et al. [6] documentaron, mediante una revisión narrativa, que los chatbots se utilizaron a lo largo de todo el proceso de atención del paciente con cáncer, desde la prevención y el tamizaje hasta el seguimiento durante el tratamiento, con niveles favorables de satisfacción y una comunicación más fluida. Taton [1], por su parte, matizó este optimismo al advertir, desde el propio título de su revisión, que no todo lo que ofrecen estas herramientas representa una ventaja, y examinó tanto sus beneficios como sus limitaciones en aplicaciones oncológicas.</w:t>
      </w:r>
    </w:p>
    <w:p>
      <w:pPr>
        <w:spacing w:after="120" w:before="0" w:line="360"/>
        <w:jc w:val="both"/>
      </w:pPr>
      <w:r>
        <w:rPr>
          <w:rFonts w:ascii="Arial" w:cs="Arial" w:eastAsia="Arial" w:hAnsi="Arial"/>
          <w:sz w:val="24"/>
          <w:szCs w:val="24"/>
        </w:rPr>
        <w:t xml:space="preserve">La evidencia sobre eficiencia operativa apuntó en la misma dirección. Wah [7] revisó 29 estudios publicados principalmente entre 2022 y 2025 sobre chatbots híbridos, es decir, sistemas que combinan inteligencia artificial con intervención humana, y reportó reducciones de hasta 25 % en los reingresos hospitalarios, un incremento de 30 % en el compromiso de los pacientes con su atención y una disminución de 15 % en los tiempos de espera de las consultas. Estas cifras sugirieron que el valor de un agente conversacional no reside únicamente en responder preguntas, sino en reorganizar la dinámica de atención de un establecimiento.</w:t>
      </w:r>
    </w:p>
    <w:p>
      <w:pPr>
        <w:spacing w:after="120" w:before="0" w:line="360"/>
        <w:jc w:val="both"/>
      </w:pPr>
      <w:r>
        <w:rPr>
          <w:rFonts w:ascii="Arial" w:cs="Arial" w:eastAsia="Arial" w:hAnsi="Arial"/>
          <w:sz w:val="24"/>
          <w:szCs w:val="24"/>
        </w:rPr>
        <w:t xml:space="preserve">El ausentismo a las citas programadas constituyó otro problema persistente para los sistemas de salud. Alturbag [8], en una revisión narrativa sobre las causas de inasistencia a citas hospitalarias, identificó el olvido como uno de los motivos más frecuentes. Este hallazgo tuvo una implicancia práctica directa, pues una parte importante de las inasistencias no obedeció a factores clínicos ni al desinterés del paciente, sino a fallas de comunicación que podían prevenirse con avisos oportunos. McMullen y Netland [9] añadieron un elemento complementario al observar, en un servicio oftalmológico, que cuanto mayor era el tiempo transcurrido entre la programación de la cita y la fecha de atención, mayor era la frecuencia de inasistencias; de ello se desprendió que la gestión del agendamiento y el uso de recordatorios debían abordarse de manera conjunta.</w:t>
      </w:r>
    </w:p>
    <w:p>
      <w:pPr>
        <w:spacing w:after="120" w:before="0" w:line="360"/>
        <w:jc w:val="both"/>
      </w:pPr>
      <w:r>
        <w:rPr>
          <w:rFonts w:ascii="Arial" w:cs="Arial" w:eastAsia="Arial" w:hAnsi="Arial"/>
          <w:sz w:val="24"/>
          <w:szCs w:val="24"/>
        </w:rPr>
        <w:t xml:space="preserve">En el Perú, el problema adquirió dimensiones igualmente relevantes. Soto Asencios et al. [10], en un estudio de casos y controles realizado en el Hospital Nacional Daniel Alcides Carrión, en el Callao, registraron 2 963 pacientes que no acudieron a su cita de consulta externa frente a 12 125 que sí asistieron, lo que representó una proporción de ausentismo de 19,64 %. Además del costo que supone cada cupo perdido, esta cifra reflejó una debilidad en los mecanismos de comunicación entre el establecimiento y sus pacientes.</w:t>
      </w:r>
    </w:p>
    <w:p>
      <w:pPr>
        <w:spacing w:after="120" w:before="0" w:line="360"/>
        <w:jc w:val="both"/>
      </w:pPr>
      <w:r>
        <w:rPr>
          <w:rFonts w:ascii="Arial" w:cs="Arial" w:eastAsia="Arial" w:hAnsi="Arial"/>
          <w:sz w:val="24"/>
          <w:szCs w:val="24"/>
        </w:rPr>
        <w:t xml:space="preserve">Diversos trabajos de grado desarrollados en Lima ofrecieron evidencia local sobre el efecto de la digitalización en la gestión de citas. Dávila Colán [11] analizó la relación entre la gestión de citas médicas vía web y la calidad de atención en un hospital pediátrico, y Cuya Camacho [12], bajo un diseño preexperimental, documentó reducciones considerables en los tiempos de búsqueda, procesamiento y generación de información tras implementar un sistema web para el control de citas en un establecimiento de salud de Villa El Salvador. En el terreno de los agentes conversacionales, Bacilio Ruiz [13] evaluó el uso de un chatbot para el seguimiento de personal de salud en un ensayo clínico de profilaxis frente a la COVID-19. Aunque estos estudios confirmaron el interés por automatizar la gestión de citas en el país, ninguno abordó de forma integrada el registro, el agendamiento y la atención de consultas en una institución oncológica privada de pequeña escala.</w:t>
      </w:r>
    </w:p>
    <w:p>
      <w:pPr>
        <w:spacing w:after="120" w:before="0" w:line="360"/>
        <w:jc w:val="both"/>
      </w:pPr>
      <w:r>
        <w:rPr>
          <w:rFonts w:ascii="Arial" w:cs="Arial" w:eastAsia="Arial" w:hAnsi="Arial"/>
          <w:sz w:val="24"/>
          <w:szCs w:val="24"/>
        </w:rPr>
        <w:t xml:space="preserve">La fundación oncológica privada de Lima donde se desarrolló el estudio no fue ajena a esta problemática. Antes de la intervención, la institución no contaba con un sistema informático orientado a la gestión de sus pacientes: los datos de registro, seguimiento y programación de citas se administraban en hojas de cálculo, y las consultas de los pacientes se atendían de forma presencial, telefónica o a través de mensajería institucional. Esta situación se tradujo en tiempos de registro prolongados por el ingreso manual de datos, en la acumulación de pacientes en los puntos de atención y en una tasa de ausentismo que, según </w:t>
      </w:r>
      <w:r>
        <w:rPr>
          <w:rFonts w:ascii="Arial" w:cs="Arial" w:eastAsia="Arial" w:hAnsi="Arial"/>
          <w:sz w:val="24"/>
          <w:szCs w:val="24"/>
          <w:highlight w:val="yellow"/>
        </w:rPr>
        <w:t xml:space="preserve">registros internos de la institución (precisar documento, periodo y número de citas)</w:t>
      </w:r>
      <w:r>
        <w:rPr>
          <w:rFonts w:ascii="Arial" w:cs="Arial" w:eastAsia="Arial" w:hAnsi="Arial"/>
          <w:sz w:val="24"/>
          <w:szCs w:val="24"/>
        </w:rPr>
        <w:t xml:space="preserve">, alcanzó el 65 %, atribuida en gran medida a la falta de mecanismos automatizados de recordatorio. </w:t>
      </w:r>
      <w:r>
        <w:rPr>
          <w:rFonts w:ascii="Arial" w:cs="Arial" w:eastAsia="Arial" w:hAnsi="Arial"/>
          <w:sz w:val="24"/>
          <w:szCs w:val="24"/>
          <w:highlight w:val="yellow"/>
        </w:rPr>
        <w:t xml:space="preserve">Añadir datos reales de dimensionamiento: número de personas que atienden el registro y las citas, volumen mensual aproximado de registros, citas y consultas, y tiempo que tomaba un registro manual según la observación previa o el testimonio del personal.</w:t>
      </w:r>
      <w:r>
        <w:rPr>
          <w:rFonts w:ascii="Arial" w:cs="Arial" w:eastAsia="Arial" w:hAnsi="Arial"/>
          <w:sz w:val="24"/>
          <w:szCs w:val="24"/>
        </w:rPr>
        <w:t xml:space="preserve"> Se configuró así una discrepancia clara entre la gestión observada y la que cabría esperar de una institución que atiende a pacientes cuya continuidad de tratamiento resulta crítica.</w:t>
      </w:r>
    </w:p>
    <w:p>
      <w:pPr>
        <w:spacing w:after="120" w:before="0" w:line="360"/>
        <w:jc w:val="both"/>
      </w:pPr>
      <w:r>
        <w:rPr>
          <w:rFonts w:ascii="Arial" w:cs="Arial" w:eastAsia="Arial" w:hAnsi="Arial"/>
          <w:sz w:val="24"/>
          <w:szCs w:val="24"/>
        </w:rPr>
        <w:t xml:space="preserve">De mantenerse esas condiciones, era previsible que la carga administrativa siguiera creciendo con cada paciente incorporado, que las inasistencias continuaran restando cupos útiles y afectando la continuidad de los tratamientos, y que la respuesta a las consultas dependiera por completo de la disponibilidad del personal en horario de atención. La experiencia de otras instituciones mostró que estos problemas no se corrigen solo con mayor esfuerzo del personal, sino con cambios en los procesos y en los canales de comunicación [8], [14]. Por ello, se planteó el desarrollo de un sistema web con chatbot que integrara el registro de pacientes, el agendamiento de citas con recordatorios automatizados y la atención de consultas, adaptado a la escala y a las particularidades de la fundación.</w:t>
      </w:r>
    </w:p>
    <w:p>
      <w:pPr>
        <w:spacing w:after="120" w:before="0" w:line="360"/>
        <w:jc w:val="both"/>
      </w:pPr>
      <w:r>
        <w:rPr>
          <w:rFonts w:ascii="Arial" w:cs="Arial" w:eastAsia="Arial" w:hAnsi="Arial"/>
          <w:sz w:val="24"/>
          <w:szCs w:val="24"/>
        </w:rPr>
        <w:t xml:space="preserve">Desde la perspectiva de los criterios de identificación de problemáticas propuestos por la guía institucional [15], el caso reunió dos rasgos. El primero fue un vacío de conocimiento, puesto que la evidencia sobre chatbots en salud se concentró en otras áreas de aplicación [3], [4]. El segundo fue una falta de contextualización, ya que los estudios con mayor soporte empírico se desarrollaron en sistemas hospitalarios de gran escala de países de ingresos altos [14], [16], [17], cuyas condiciones difieren de las de una fundación oncológica privada peruana con un número reducido de pacientes activos.</w:t>
      </w:r>
    </w:p>
    <w:p>
      <w:pPr>
        <w:spacing w:after="120" w:before="0" w:line="360"/>
        <w:jc w:val="both"/>
      </w:pPr>
      <w:r>
        <w:rPr>
          <w:rFonts w:ascii="Arial" w:cs="Arial" w:eastAsia="Arial" w:hAnsi="Arial"/>
          <w:sz w:val="24"/>
          <w:szCs w:val="24"/>
        </w:rPr>
        <w:t xml:space="preserve">La investigación buscará contribuir al Objetivo de Desarrollo Sostenible 3, Salud y bienestar, en particular a la meta 3.8, orientada a lograr el acceso a servicios de salud esenciales de calidad para todas las personas [18]. De manera complementaria, pretenderá aportar al Objetivo 9, Industria, innovación e infraestructura, específicamente a la meta 9.5, que plantea aumentar la investigación científica y mejorar la capacidad tecnológica de los sectores de servicios mediante el fomento de la innovación [18]. En ambos casos, la contribución consistirá en demostrar que una solución tecnológica de bajo costo puede mejorar procesos concretos de atención en una institución de salud del sector privado sin fines de lucro.</w:t>
      </w:r>
    </w:p>
    <w:p>
      <w:pPr>
        <w:spacing w:after="120" w:before="0" w:line="360"/>
        <w:jc w:val="both"/>
      </w:pPr>
      <w:r>
        <w:rPr>
          <w:rFonts w:ascii="Arial" w:cs="Arial" w:eastAsia="Arial" w:hAnsi="Arial"/>
          <w:sz w:val="24"/>
          <w:szCs w:val="24"/>
        </w:rPr>
        <w:t xml:space="preserve">A partir de la situación descrita, se formuló la siguiente pregunta general: ¿Cómo influye un sistema web con chatbot para la gestión de pacientes en una fundación oncológica privada de Lima, 2026? De ella se desprendieron las siguientes problemáticas específicas: 1) ¿Cómo influye un sistema web con chatbot en el tiempo promedio de registro para la gestión de pacientes en una fundación oncológica privada de Lima, 2026? 2) ¿Cómo influye un sistema web con chatbot en la tasa de ausentismo para la gestión de pacientes en una fundación oncológica privada de Lima, 2026? 3) ¿Cómo influye un sistema web con chatbot en el nivel de consultas atendidas para la gestión de pacientes en una fundación oncológica privada de Lima, 2026?</w:t>
      </w:r>
    </w:p>
    <w:p>
      <w:pPr>
        <w:spacing w:after="120" w:before="0" w:line="360"/>
        <w:jc w:val="both"/>
      </w:pPr>
      <w:r>
        <w:rPr>
          <w:rFonts w:ascii="Arial" w:cs="Arial" w:eastAsia="Arial" w:hAnsi="Arial"/>
          <w:sz w:val="24"/>
          <w:szCs w:val="24"/>
        </w:rPr>
        <w:t xml:space="preserve">La investigación se justifica desde tres criterios. En el plano teórico, aporta evidencia empírica sobre la aplicación del modelo de aceptación tecnológica [19] y del modelo de éxito de los sistemas de información [20] en un contexto escasamente estudiado: la gestión administrativa de pacientes en una institución oncológica privada peruana. Con ello contribuye a contrastar, en un entorno de pequeña escala, resultados que la literatura ha documentado sobre todo en grandes sistemas hospitalarios [14], [16], y ofrece un marco de referencia para futuros estudios sobre inteligencia artificial conversacional en instituciones sanitarias del país.</w:t>
      </w:r>
    </w:p>
    <w:p>
      <w:pPr>
        <w:spacing w:after="120" w:before="0" w:line="360"/>
        <w:jc w:val="both"/>
      </w:pPr>
      <w:r>
        <w:rPr>
          <w:rFonts w:ascii="Arial" w:cs="Arial" w:eastAsia="Arial" w:hAnsi="Arial"/>
          <w:sz w:val="24"/>
          <w:szCs w:val="24"/>
        </w:rPr>
        <w:t xml:space="preserve">En el plano práctico, la investigación responde a necesidades concretas de la fundación. El sistema web con chatbot busca reducir el tiempo que el personal dedica al registro de pacientes, disminuir las inasistencias mediante recordatorios automatizados e incrementar la proporción de consultas administrativas resueltas en el primer contacto. Los beneficiarios directos son los pacientes oncológicos y sus familias, que acceden a información oportuna y a una atención más ordenada, y el personal administrativo, que puede reorientar su tiempo hacia tareas que requieren intervención humana. Por tratarse de problemas comunes en organizaciones similares, la solución y sus resultados pueden servir de referencia para otras fundaciones o asociaciones de apoyo al paciente oncológico.</w:t>
      </w:r>
    </w:p>
    <w:p>
      <w:pPr>
        <w:spacing w:after="120" w:before="0" w:line="360"/>
        <w:jc w:val="both"/>
      </w:pPr>
      <w:r>
        <w:rPr>
          <w:rFonts w:ascii="Arial" w:cs="Arial" w:eastAsia="Arial" w:hAnsi="Arial"/>
          <w:sz w:val="24"/>
          <w:szCs w:val="24"/>
        </w:rPr>
        <w:t xml:space="preserve">En el plano metodológico, el estudio propone un procedimiento de medición basado en eventos reales y no en un número fijo de observaciones por participante. Cada indicador se calcula sobre su propia unidad de análisis (el registro, la cita programada o la consulta recibida) y la comparación entre el pretest y el postest se realiza sobre trece sesiones equivalentes de observación. Este procedimiento, junto con los instrumentos diseñados y validados para el estudio, puede ser replicado por otras investigaciones aplicadas que evalúen sistemas de información en instituciones con volúmenes de atención reducidos.</w:t>
      </w:r>
    </w:p>
    <w:p>
      <w:pPr>
        <w:spacing w:after="120" w:before="0" w:line="360"/>
        <w:jc w:val="both"/>
      </w:pPr>
      <w:r>
        <w:rPr>
          <w:rFonts w:ascii="Arial" w:cs="Arial" w:eastAsia="Arial" w:hAnsi="Arial"/>
          <w:sz w:val="24"/>
          <w:szCs w:val="24"/>
        </w:rPr>
        <w:t xml:space="preserve">En correspondencia con estas preguntas, la investigación se orientó por el siguiente objetivo general: Determinar la influencia de un sistema web con chatbot para la gestión de pacientes en una fundación oncológica privada de Lima, 2026. Los objetivos específicos que guiaron el estudio fueron los siguientes: 1) Determinar la influencia de un sistema web con chatbot en el tiempo promedio de registro para la gestión de pacientes en una fundación oncológica privada de Lima, 2026. 2) Determinar la influencia de un sistema web con chatbot en la tasa de ausentismo para la gestión de pacientes en una fundación oncológica privada de Lima, 2026. 3) Determinar la influencia de un sistema web con chatbot en el nivel de consultas atendidas para la gestión de pacientes en una fundación oncológica privada de Lima, 2026.</w:t>
      </w:r>
    </w:p>
    <w:p>
      <w:pPr>
        <w:spacing w:after="120" w:before="0" w:line="360"/>
        <w:jc w:val="both"/>
      </w:pPr>
      <w:r>
        <w:rPr>
          <w:rFonts w:ascii="Arial" w:cs="Arial" w:eastAsia="Arial" w:hAnsi="Arial"/>
          <w:sz w:val="24"/>
          <w:szCs w:val="24"/>
        </w:rPr>
        <w:t xml:space="preserve">La revisión de la literatura permitió identificar antecedentes internacionales publicados en revistas indexadas que abordaron, desde distintos ángulos, los tres procesos estudiados. Unlu et al. [16] partieron de un problema operativo en Mass General Brigham, un sistema de salud integrado de Estados Unidos con más de 80 000 trabajadores: los cambios frecuentes en las políticas de retorno al trabajo durante la pandemia de COVID-19 dificultaron que el personal supiera cuándo debía someterse a pruebas o reincorporarse, lo que incrementó las llamadas al servicio de salud ocupacional. Con el objetivo de orientar a los trabajadores de forma automatizada, los autores diseñaron un chatbot web mediante una metodología ágil, mapearon la política institucional en un diagrama de flujo unificado y construyeron la herramienta sobre Microsoft Azure Health Bot, para luego evaluarla con un diseño de tipo antes y después. Concluyeron que un chatbot de este tipo puede diseñarse y desplegarse con rapidez, orientar eficientemente a los usuarios en procesos sujetos a normas complejas y cambiantes, y reducir el uso de los recursos humanos del servicio. El antecedente se vincula con la presente investigación tanto por el uso de un agente conversacional para descargar consultas administrativas como por el diseño pre-post que ambos estudios comparten.</w:t>
      </w:r>
    </w:p>
    <w:p>
      <w:pPr>
        <w:spacing w:after="120" w:before="0" w:line="360"/>
        <w:jc w:val="both"/>
      </w:pPr>
      <w:r>
        <w:rPr>
          <w:rFonts w:ascii="Arial" w:cs="Arial" w:eastAsia="Arial" w:hAnsi="Arial"/>
          <w:sz w:val="24"/>
          <w:szCs w:val="24"/>
        </w:rPr>
        <w:t xml:space="preserve">AlSerkal et al. [21] evaluaron, en los centros de atención primaria de Emirates Health Services, en los Emiratos Árabes Unidos, el efecto de una solución basada en inteligencia artificial integrada a un tablero de datos en tiempo real sobre las citas no asistidas y los tiempos de espera. El punto de partida fue una red que atendía más de 140 000 visitas mensuales, con una tasa basal de inasistencia de 21 % y un tiempo de espera promedio superior a 16 minutos. Mediante un diseño de antes y después, los autores registraron una reducción de 50,7 % en las citas no asistidas (p &lt; 0,001) y una disminución de 5,7 minutos en el tiempo de espera global, y concluyeron que integrar la inteligencia artificial con una plataforma analítica y con la historia clínica electrónica mejoraba de manera significativa la eficiencia operativa. De todos los antecedentes revisados, este es el más cercano al indicador tasa de ausentismo, tanto por la variable medida como por el tipo de diseño.</w:t>
      </w:r>
    </w:p>
    <w:p>
      <w:pPr>
        <w:spacing w:after="120" w:before="0" w:line="360"/>
        <w:jc w:val="both"/>
      </w:pPr>
      <w:r>
        <w:rPr>
          <w:rFonts w:ascii="Arial" w:cs="Arial" w:eastAsia="Arial" w:hAnsi="Arial"/>
          <w:sz w:val="24"/>
          <w:szCs w:val="24"/>
        </w:rPr>
        <w:t xml:space="preserve">Woodcock et al. [14] analizaron, en un estudio de caso cuantitativo de una organización médica comunitaria de Estados Unidos, cerca de dos millones de citas con el propósito de evaluar la adopción y los resultados del autoagendamiento automatizado. La proporción de citas programadas por los propios pacientes a través del canal digital creció de 4 % a 15 %, y las tasas de cancelación e inasistencia fueron menores entre quienes utilizaron la herramienta. Los autores concluyeron que la automatización del agendamiento ofrecía ventajas para la organización y para los pacientes, y la escala del estudio otorgó solidez a la asociación entre agendamiento digital y menor ausentismo, indicador que también se evaluó en la presente investigación.</w:t>
      </w:r>
    </w:p>
    <w:p>
      <w:pPr>
        <w:spacing w:after="120" w:before="0" w:line="360"/>
        <w:jc w:val="both"/>
      </w:pPr>
      <w:r>
        <w:rPr>
          <w:rFonts w:ascii="Arial" w:cs="Arial" w:eastAsia="Arial" w:hAnsi="Arial"/>
          <w:sz w:val="24"/>
          <w:szCs w:val="24"/>
        </w:rPr>
        <w:t xml:space="preserve">En el ámbito oncológico, Daly et al. [17] implementaron en Estados Unidos un programa digital de gestión de la transición al alta para pacientes de oncología médica, con el objetivo de mejorar la comunicación entre el paciente y el equipo tratante mediante el monitoreo remoto de síntomas durante los diez días posteriores al egreso. Entre enero de 2021 y diciembre de 2022 evaluaron 2 257 altas correspondientes a 1 857 pacientes; el 65,9 % completó al menos una evaluación de síntomas después del alta y, de ellos, el 45,5 % generó una alerta de síntoma severo que el equipo gestionó oportunamente. La intervención alcanzó un índice de recomendación neta de 84 %, y los autores concluyeron que la gestión digital de la transición era factible. Para la presente investigación, el hallazgo aportó un indicio de que los pacientes oncológicos aceptan y utilizan canales digitales de comunicación con su institución.</w:t>
      </w:r>
    </w:p>
    <w:p>
      <w:pPr>
        <w:spacing w:after="120" w:before="0" w:line="360"/>
        <w:jc w:val="both"/>
      </w:pPr>
      <w:r>
        <w:rPr>
          <w:rFonts w:ascii="Arial" w:cs="Arial" w:eastAsia="Arial" w:hAnsi="Arial"/>
          <w:sz w:val="24"/>
          <w:szCs w:val="24"/>
        </w:rPr>
        <w:t xml:space="preserve">Bai et al. [22] compararon, en China, las respuestas del modelo GPT-4 con las de oncólogos frente a mensajes de texto asincrónicos enviados por pacientes con cáncer. Para ello recopilaron 4 257 registros anonimizados de consultas atendidas por 17 oncólogos entre enero de 2020 y marzo de 2024, clasificados en dos escenarios: educación del paciente y toma de decisiones médicas. Los autores concluyeron que el chatbot tenía potencial como herramienta complementaria de la atención a distancia, pero que requería supervisión médica para garantizar la seguridad y la exactitud de las respuestas. Este antecedente respaldó la decisión de restringir el chatbot de la fundación a consultas administrativas y de registrar como no resueltas aquellas que requirieran derivación al personal.</w:t>
      </w:r>
    </w:p>
    <w:p>
      <w:pPr>
        <w:spacing w:after="120" w:before="0" w:line="360"/>
        <w:jc w:val="both"/>
      </w:pPr>
      <w:r>
        <w:rPr>
          <w:rFonts w:ascii="Arial" w:cs="Arial" w:eastAsia="Arial" w:hAnsi="Arial"/>
          <w:sz w:val="24"/>
          <w:szCs w:val="24"/>
        </w:rPr>
        <w:t xml:space="preserve">Nishisako et al. [23] desarrollaron y evaluaron en el Centro Nacional del Cáncer de Japón chatbots de inteligencia artificial generativa destinados a brindar información oncológica, con el propósito de reducir las respuestas inventadas o alucinaciones. Los chatbots que generaron sus respuestas a partir de una fuente institucional confiable, mediante generación aumentada por recuperación, alcanzaron tasas de alucinación de 0 % con GPT-4 y de 6 % con GPT-3.5, y mostraron mayor capacidad para reconocer cuándo carecían de información. Los autores concluyeron que anclar el modelo en fuentes verificadas lo hacía más adecuado para el uso general. Este resultado se relaciona con el diseño del agente conversacional de la presente investigación, que se alimenta de información institucional de la fundación.</w:t>
      </w:r>
    </w:p>
    <w:p>
      <w:pPr>
        <w:spacing w:after="120" w:before="0" w:line="360"/>
        <w:jc w:val="both"/>
      </w:pPr>
      <w:r>
        <w:rPr>
          <w:rFonts w:ascii="Arial" w:cs="Arial" w:eastAsia="Arial" w:hAnsi="Arial"/>
          <w:sz w:val="24"/>
          <w:szCs w:val="24"/>
        </w:rPr>
        <w:t xml:space="preserve">Neo et al. [24] evaluaron la capacidad de dos chatbots basados en grandes modelos de lenguaje, ChatGPT y Google Bard, para responder a las preguntas de pacientes ambulatorios que habían sufrido un accidente cerebrovascular y de sus cuidadores. Las preguntas se recogieron mediante una encuesta, se agruparon por temas y las respuestas se calificaron según su exactitud, seguridad, pertinencia y legibilidad. ChatGPT obtuvo 65,8 % de respuestas satisfactorias y Google Bard, 75,8 %, con proporciones menores de respuestas limítrofes e insatisfactorias. El estudio mostró que la proporción de consultas resueltas satisfactoriamente es una medida pertinente del desempeño de un chatbot, criterio análogo al del indicador nivel de consultas atendidas.</w:t>
      </w:r>
    </w:p>
    <w:p>
      <w:pPr>
        <w:spacing w:after="120" w:before="0" w:line="360"/>
        <w:jc w:val="both"/>
      </w:pPr>
      <w:r>
        <w:rPr>
          <w:rFonts w:ascii="Arial" w:cs="Arial" w:eastAsia="Arial" w:hAnsi="Arial"/>
          <w:sz w:val="24"/>
          <w:szCs w:val="24"/>
        </w:rPr>
        <w:t xml:space="preserve">Singh et al. [25], por su parte, examinaron mediante un estudio transversal la satisfacción de los usuarios de un chatbot de orientación sobre COVID-19 implementado por un sistema de salud estadounidense, en función de sus factores de riesgo y de las acciones de seguimiento que realizaron. Concluyeron que los chatbots orientados a grupos de riesgo, y que proponen acciones concretas de seguimiento, son percibidos como una vía útil de primer contacto con el sistema de salud. El hallazgo resultó pertinente para una población como la oncológica, con necesidades frecuentes de orientación y seguimiento.</w:t>
      </w:r>
    </w:p>
    <w:p>
      <w:pPr>
        <w:spacing w:after="120" w:before="0" w:line="360"/>
        <w:jc w:val="both"/>
      </w:pPr>
      <w:r>
        <w:rPr>
          <w:rFonts w:ascii="Arial" w:cs="Arial" w:eastAsia="Arial" w:hAnsi="Arial"/>
          <w:sz w:val="24"/>
          <w:szCs w:val="24"/>
        </w:rPr>
        <w:t xml:space="preserve">Las revisiones disponibles completaron este panorama. Kurniawan et al. [5] concluyeron, a partir de una revisión sistemática, que los chatbots basados en inteligencia artificial favorecieron la adherencia terapéutica y el seguimiento de pacientes con enfermedades crónicas, principalmente mediante recordatorios automatizados. Wah [7] sintetizó la evidencia de 29 estudios seleccionados de un total de 116 y reportó beneficios en reingresos, compromiso del paciente y tiempos de espera, aunque advirtió que la confianza, la seguridad de los datos y la integración con los sistemas existentes seguían siendo barreras para la adopción. Wang et al. [6] documentaron, desde la oncología, el uso de chatbots en distintas etapas de la atención del paciente con cáncer.</w:t>
      </w:r>
    </w:p>
    <w:p>
      <w:pPr>
        <w:spacing w:after="120" w:before="0" w:line="360"/>
        <w:jc w:val="both"/>
      </w:pPr>
      <w:r>
        <w:rPr>
          <w:rFonts w:ascii="Arial" w:cs="Arial" w:eastAsia="Arial" w:hAnsi="Arial"/>
          <w:sz w:val="24"/>
          <w:szCs w:val="24"/>
        </w:rPr>
        <w:t xml:space="preserve">En el contexto nacional, la búsqueda en bases indexadas no identificó artículos que evaluaran sistemas web con chatbot para la gestión administrativa de pacientes; la evidencia disponible sobre el tema se encontró principalmente en trabajos de grado, ya descritos al presentar la realidad problemática. Entre los artículos indexados, Soto Asencios et al. [10] desarrollaron un estudio observacional, retrospectivo, analítico de casos y controles en el Hospital Nacional Daniel Alcides Carrión, con una muestra de 126 casos y 253 controles seleccionados por muestreo sistemático, orientado a identificar los factores asociados al ausentismo a la cita médica; su aporte a la presente investigación consistió en dimensionar el problema en un hospital peruano y en confirmar la pertinencia del ausentismo como indicador de gestión.</w:t>
      </w:r>
    </w:p>
    <w:p>
      <w:pPr>
        <w:spacing w:after="120" w:before="0" w:line="360"/>
        <w:jc w:val="both"/>
      </w:pPr>
      <w:r>
        <w:rPr>
          <w:rFonts w:ascii="Arial" w:cs="Arial" w:eastAsia="Arial" w:hAnsi="Arial"/>
          <w:sz w:val="24"/>
          <w:szCs w:val="24"/>
        </w:rPr>
        <w:t xml:space="preserve">Asimismo, Huapaya-Huertas et al. [26] describieron la experiencia del Complejo Hospitalario San Pablo en la implementación de un sistema de historias clínicas electrónicas. Los autores señalaron que el proceso exigió una incorporación gradual entre sedes, capacitación continua del personal y una gestión deliberada del cambio organizacional. Esta experiencia anticipó que la adopción del sistema propuesto no dependería solo de su funcionamiento técnico, sino también de la disposición del personal a utilizarlo, aspecto que se vincula con el modelo de aceptación tecnológica.</w:t>
      </w:r>
    </w:p>
    <w:p>
      <w:pPr>
        <w:spacing w:after="120" w:before="0" w:line="360"/>
        <w:jc w:val="both"/>
      </w:pPr>
      <w:r>
        <w:rPr>
          <w:rFonts w:ascii="Arial" w:cs="Arial" w:eastAsia="Arial" w:hAnsi="Arial"/>
          <w:sz w:val="24"/>
          <w:szCs w:val="24"/>
        </w:rPr>
        <w:t xml:space="preserve">En conjunto, los antecedentes coincidieron en que la automatización del agendamiento y los recordatorios se asociaron con menos inasistencias [14], [21], y en que los chatbots respondieron de forma aceptable a una proporción importante de las consultas de los pacientes, aunque con la necesidad de supervisión humana y de fuentes de información confiables [22]–[24]. Divergieron, en cambio, en la escala y en el contexto: la mayor parte se desarrolló en redes de salud con decenas de miles de usuarios, y ninguno evaluó de manera conjunta el registro, el agendamiento y la atención de consultas en una institución oncológica privada de pequeña escala en América Latina. Esa brecha, que corresponde a la falta de contextualización señalada en el planteamiento del problema, es la que la presente investigación buscó cubrir.</w:t>
      </w:r>
    </w:p>
    <w:p>
      <w:pPr>
        <w:spacing w:after="120" w:before="0" w:line="360"/>
        <w:jc w:val="both"/>
      </w:pPr>
      <w:r>
        <w:rPr>
          <w:rFonts w:ascii="Arial" w:cs="Arial" w:eastAsia="Arial" w:hAnsi="Arial"/>
          <w:sz w:val="24"/>
          <w:szCs w:val="24"/>
        </w:rPr>
        <w:t xml:space="preserve">La investigación se sustenta en tres referentes teóricos. El primero es el modelo de aceptación tecnológica (TAM), propuesto por Davis [19], que explica la adopción de una tecnología a partir de dos creencias del usuario: la utilidad percibida, entendida como el grado en que la persona considera que la tecnología mejora el desempeño de sus actividades, y la facilidad de uso percibida, entendida como el grado en que considera que utilizarla no le demandará un esfuerzo significativo. Ambas creencias influyen en la actitud y en la intención de uso, que a su vez anteceden al uso efectivo del sistema. El modelo conserva vigencia empírica en contextos latinoamericanos: Cardona-Valencia y Betancur Duque [27] identificaron la utilidad percibida como el predictor más fuerte de la intención de uso en docentes universitarios, y Silverte et al. [28] confirmaron la relación entre facilidad de uso percibida y actitud favorable en estudiantes dominicanos. En el sector salud, AlQudah et al. [29] revisaron 142 estudios empíricos y confirmaron que el TAM y la teoría unificada de aceptación y uso de la tecnología son los modelos que predominan para explicar la aceptación de tecnologías sanitarias en distintos usuarios, entornos y países.</w:t>
      </w:r>
    </w:p>
    <w:p>
      <w:pPr>
        <w:spacing w:after="120" w:before="0" w:line="360"/>
        <w:jc w:val="both"/>
      </w:pPr>
      <w:r>
        <w:rPr>
          <w:rFonts w:ascii="Arial" w:cs="Arial" w:eastAsia="Arial" w:hAnsi="Arial"/>
          <w:sz w:val="24"/>
          <w:szCs w:val="24"/>
        </w:rPr>
        <w:t xml:space="preserve">En la presente investigación, el TAM no se emplea para medir la aceptación del sistema, sino para explicar una condición previa de los efectos esperados: si el personal y los pacientes perciben el sistema web con chatbot como útil y fácil de usar, lo incorporarán a sus rutinas, y solo entonces cabe esperar cambios en el tiempo de registro, el ausentismo y la atención de consultas. Por esa razón, el diseño del sistema priorizó interfaces simples y flujos conversacionales breves.</w:t>
      </w:r>
    </w:p>
    <w:p>
      <w:pPr>
        <w:spacing w:after="120" w:before="0" w:line="360"/>
        <w:jc w:val="both"/>
      </w:pPr>
      <w:r>
        <w:rPr>
          <w:rFonts w:ascii="Arial" w:cs="Arial" w:eastAsia="Arial" w:hAnsi="Arial"/>
          <w:sz w:val="24"/>
          <w:szCs w:val="24"/>
        </w:rPr>
        <w:t xml:space="preserve">El segundo referente es el modelo de éxito de los sistemas de información de DeLone y McLean [20], que sostiene que la calidad del sistema, la calidad de la información y la calidad del servicio determinan el uso y la satisfacción de los usuarios, y que estos, a su vez, generan beneficios netos para la organización. Aplicado al sector salud, este enfoque coincide con lo señalado por Rodríguez Mora et al. [30], para quienes un sistema de información hospitalaria permite centralizar los datos de los pacientes, evitar la duplicidad de registros y facilitar la gestión administrativa y la toma de decisiones. Castañeiro Rodríguez et al. [31] documentaron, en la misma línea, que la digitalización del módulo de consulta externa de un sistema de información hospitalaria mejoró la trazabilidad de la información del paciente. En este estudio, los tres indicadores de la variable dependiente se interpretan como expresiones de los beneficios netos que el modelo atribuye a un sistema de información exitoso.</w:t>
      </w:r>
    </w:p>
    <w:p>
      <w:pPr>
        <w:spacing w:after="120" w:before="0" w:line="360"/>
        <w:jc w:val="both"/>
      </w:pPr>
      <w:r>
        <w:rPr>
          <w:rFonts w:ascii="Arial" w:cs="Arial" w:eastAsia="Arial" w:hAnsi="Arial"/>
          <w:sz w:val="24"/>
          <w:szCs w:val="24"/>
        </w:rPr>
        <w:t xml:space="preserve">El tercer referente es el enfoque de la comunicación en salud digital. Gonzalo-Iglesia y Vidal-Pérez [32] sostienen que los canales digitales, entre ellos los chatbots, permiten mantener una comunicación más continua y personalizada con los pacientes y reducen la dependencia del contacto presencial para brindar información. Desde esta perspectiva, una comunicación oportuna entre la institución y el paciente favorece la continuidad de la atención, idea que se ve reforzada por la evidencia sobre el olvido como causa del ausentismo [8] y por el efecto de los recordatorios automatizados sobre la adherencia [5]. Este enfoque fundamenta, en particular, la relación entre el sistema y los indicadores de ausentismo y de consultas atendidas.</w:t>
      </w:r>
    </w:p>
    <w:p>
      <w:pPr>
        <w:spacing w:after="120" w:before="0" w:line="360"/>
        <w:jc w:val="both"/>
      </w:pPr>
      <w:r>
        <w:rPr>
          <w:rFonts w:ascii="Arial" w:cs="Arial" w:eastAsia="Arial" w:hAnsi="Arial"/>
          <w:sz w:val="24"/>
          <w:szCs w:val="24"/>
        </w:rPr>
        <w:t xml:space="preserve">En cuanto a los enfoques conceptuales, un sistema web es una aplicación a la que los usuarios acceden mediante un navegador y que concentra en un servidor la lógica del negocio y los datos, lo que permite su uso desde distintos dispositivos sin instalación local. Un chatbot, por su parte, es un programa que interactúa con los usuarios en lenguaje natural, por texto o por voz, y cuya evolución va desde los sistemas basados en reglas y patrones hasta los que emplean aprendizaje automático [33]. En el ámbito sanitario, Laranjo et al. [34] distinguen los agentes conversacionales que aceptan lenguaje natural sin restricciones de los que solo ofrecen opciones predefinidas, y advierten que la evaluación de su eficacia y su seguridad todavía es heterogénea. Los esquemas híbridos, que combinan la inteligencia artificial con la intervención humana, amplían la aceptación de estas herramientas entre usuarios con distintos niveles de alfabetización digital [7].</w:t>
      </w:r>
    </w:p>
    <w:p>
      <w:pPr>
        <w:spacing w:after="120" w:before="0" w:line="360"/>
        <w:jc w:val="both"/>
      </w:pPr>
      <w:r>
        <w:rPr>
          <w:rFonts w:ascii="Arial" w:cs="Arial" w:eastAsia="Arial" w:hAnsi="Arial"/>
          <w:sz w:val="24"/>
          <w:szCs w:val="24"/>
        </w:rPr>
        <w:t xml:space="preserve">La generación más reciente de chatbots se apoya en grandes modelos de lenguaje, capaces de responder consultas formuladas en texto libre sin haber sido entrenados específicamente para cada tarea [35]. Esta capacidad explica su rápida adopción en salud, pero también sus riesgos: los modelos pueden generar respuestas plausibles e incorrectas, por lo que su uso con pacientes exige limitar su alcance y supervisar sus resultados [22], [35]. Una estrategia para mitigar ese riesgo es la generación aumentada por recuperación, en la que el modelo responde a partir de una base de conocimiento institucional verificada, lo que reduce de manera marcada las respuestas inventadas [23]. Estos conceptos orientan dos decisiones de diseño del presente estudio: restringir el chatbot a consultas administrativas y alimentarlo con información oficial de la fundación.</w:t>
      </w:r>
    </w:p>
    <w:p>
      <w:pPr>
        <w:spacing w:after="120" w:before="0" w:line="360"/>
        <w:jc w:val="both"/>
      </w:pPr>
      <w:r>
        <w:rPr>
          <w:rFonts w:ascii="Arial" w:cs="Arial" w:eastAsia="Arial" w:hAnsi="Arial"/>
          <w:sz w:val="24"/>
          <w:szCs w:val="24"/>
        </w:rPr>
        <w:t xml:space="preserve">El sistema desarrollado en esta investigación integra tres módulos: el registro de pacientes, el agendamiento de citas con recordatorios automatizados y un agente conversacional basado en el modelo de lenguaje Gemini, cuyos flujos de trabajo se orquestan mediante la plataforma n8n. </w:t>
      </w:r>
      <w:r>
        <w:rPr>
          <w:rFonts w:ascii="Arial" w:cs="Arial" w:eastAsia="Arial" w:hAnsi="Arial"/>
          <w:sz w:val="24"/>
          <w:szCs w:val="24"/>
          <w:highlight w:val="yellow"/>
        </w:rPr>
        <w:t xml:space="preserve">Completar: arquitectura del sistema (frontend, backend, base de datos), canal por el que se envían los recordatorios y metodología de desarrollo de software empleada (por ejemplo, Scrum), con su respectiva referencia.</w:t>
      </w:r>
    </w:p>
    <w:p>
      <w:pPr>
        <w:spacing w:after="120" w:before="0" w:line="360"/>
        <w:jc w:val="both"/>
      </w:pPr>
      <w:r>
        <w:rPr>
          <w:rFonts w:ascii="Arial" w:cs="Arial" w:eastAsia="Arial" w:hAnsi="Arial"/>
          <w:sz w:val="24"/>
          <w:szCs w:val="24"/>
        </w:rPr>
        <w:t xml:space="preserve">La variable dependiente, gestión de pacientes, se entiende como el conjunto de procesos mediante los cuales una institución de salud registra, organiza, consulta y administra la información clínica y administrativa que genera la atención de sus pacientes [30], [32]. En este estudio se operacionaliza en tres dimensiones. El registro de pacientes comprende la recopilación, validación y almacenamiento de los datos necesarios para iniciar la atención [30]. El agendamiento de citas médicas abarca la organización de fechas, horarios y servicios, y su calidad se refleja en la asistencia efectiva de los pacientes a sus citas [9], [14]; el ausentismo, en consecuencia, se define como la inasistencia a una cita programada sin aviso previo [8], [10]. La eficacia de la atención, finalmente, se entiende como la capacidad de la institución para resolver las consultas de los pacientes en el primer contacto y sin necesidad de derivarlas, capacidad que los chatbots buscan ampliar al asumir consultas administrativas recurrentes [2].</w:t>
      </w:r>
    </w:p>
    <w:p>
      <w:pPr>
        <w:spacing w:after="120" w:before="0" w:line="360"/>
        <w:jc w:val="both"/>
      </w:pPr>
      <w:r>
        <w:rPr>
          <w:rFonts w:ascii="Arial" w:cs="Arial" w:eastAsia="Arial" w:hAnsi="Arial"/>
          <w:sz w:val="24"/>
          <w:szCs w:val="24"/>
        </w:rPr>
        <w:t xml:space="preserve">Con base en la evidencia revisada, que asoció la automatización del agendamiento con menores tasas de inasistencia [14], los recordatorios con una mejor adherencia [5] y los chatbots con una menor carga de consultas sobre el personal [7], [16], la investigación propuso como hipótesis general: el sistema web con chatbot mejora significativamente la gestión de pacientes en una fundación oncológica privada de Lima, 2026. De manera específica, se planteó como primera hipótesis específica que el sistema web con chatbot mejora el tiempo promedio de registro para la gestión de pacientes en una fundación oncológica privada de Lima, 2026; como segunda hipótesis específica, que el sistema web con chatbot disminuye la tasa de ausentismo para la gestión de pacientes en una fundación oncológica privada de Lima, 2026; y como tercera hipótesis específica, que el sistema web con chatbot mejora el nivel de consultas atendidas para la gestión de pacientes en una fundación oncológica privada de Lima, 2026.</w:t>
      </w:r>
    </w:p>
    <w:p>
      <w:pPr>
        <w:pStyle w:val="Heading1"/>
        <w:pageBreakBefore/>
        <w:spacing w:after="240" w:line="360"/>
        <w:jc w:val="left"/>
      </w:pPr>
      <w:r>
        <w:rPr>
          <w:rFonts w:ascii="Arial" w:cs="Arial" w:eastAsia="Arial" w:hAnsi="Arial"/>
          <w:b/>
          <w:bCs/>
          <w:sz w:val="24"/>
          <w:szCs w:val="24"/>
        </w:rPr>
        <w:t xml:space="preserve">II. METODOLOGÍA</w:t>
      </w:r>
    </w:p>
    <w:p>
      <w:pPr>
        <w:spacing w:after="120" w:before="0" w:line="360"/>
        <w:jc w:val="both"/>
      </w:pPr>
      <w:r>
        <w:rPr>
          <w:rFonts w:ascii="Arial" w:cs="Arial" w:eastAsia="Arial" w:hAnsi="Arial"/>
          <w:sz w:val="24"/>
          <w:szCs w:val="24"/>
        </w:rPr>
        <w:t xml:space="preserve">La investigación fue de tipo aplicada, pues se orientó a resolver un problema práctico y concreto mediante el desarrollo de un sistema funcional, en concordancia con la clasificación del Manual de Oslo de la OCDE [36]. Uribe Bohórquez et al. [37] precisaron que la investigación aplicada se distinguía de la básica porque transformaba el conocimiento acumulado en productos, procesos o sistemas que atendían necesidades de un contexto determinado, lo que la hacía especialmente pertinente en proyectos tecnológicos orientados a optimizar procesos existentes. En este caso, el conocimiento sobre sistemas de información y agentes conversacionales se tradujo en una solución para la gestión de pacientes de la fundación.</w:t>
      </w:r>
    </w:p>
    <w:p>
      <w:pPr>
        <w:spacing w:after="120" w:before="0" w:line="360"/>
        <w:jc w:val="both"/>
      </w:pPr>
      <w:r>
        <w:rPr>
          <w:rFonts w:ascii="Arial" w:cs="Arial" w:eastAsia="Arial" w:hAnsi="Arial"/>
          <w:sz w:val="24"/>
          <w:szCs w:val="24"/>
        </w:rPr>
        <w:t xml:space="preserve">El enfoque fue cuantitativo, dado que los indicadores se midieron numéricamente y las hipótesis se contrastaron mediante procedimientos estadísticos [38]. El diseño fue experimental, de tipo preexperimental, con preprueba y posprueba en un solo grupo [39]; su esquema se representó como G: O1 – X – O2, donde O1 correspondió a la medición de los indicadores antes de la implementación, X a la puesta en funcionamiento del sistema web con chatbot y O2 a la medición posterior. El alcance fue explicativo, puesto que el estudio buscó determinar el efecto de la intervención sobre la gestión de pacientes. No obstante, al no contar con un grupo de control, las conclusiones causales se interpretaron con cautela, reconociendo como amenazas a la validez interna la historia (acontecimientos externos ocurridos entre ambas mediciones), las diferencias estacionales entre agosto y setiembre y los posibles cambios en el personal administrativo.</w:t>
      </w:r>
    </w:p>
    <w:p>
      <w:pPr>
        <w:spacing w:after="120" w:before="0" w:line="360"/>
        <w:jc w:val="both"/>
      </w:pPr>
      <w:r>
        <w:rPr>
          <w:rFonts w:ascii="Arial" w:cs="Arial" w:eastAsia="Arial" w:hAnsi="Arial"/>
          <w:sz w:val="24"/>
          <w:szCs w:val="24"/>
        </w:rPr>
        <w:t xml:space="preserve">La variable independiente fue el sistema web con chatbot, entendido como una plataforma digital accesible desde un navegador que incorporaba un agente conversacional capaz de interactuar con los usuarios en tiempo real [33], [35]. Se operacionalizó de forma cualitativa, mediante la verificación de la implementación y el funcionamiento de sus tres módulos: registro de pacientes, agendamiento de citas con recordatorios y atención de consultas mediante el chatbot. La variable dependiente fue la gestión de pacientes [30], operacionalizada en tres dimensiones, registro de pacientes, agendamiento de citas médicas y eficacia de la atención, cada una medida mediante un indicador de escala de razón. El tiempo promedio de registro (TPR) se calculó como la suma de los tiempos de cada registro dividida entre el número de registros, expresada en minutos, desde que el personal iniciaba el ingreso de los datos del paciente hasta que estos quedaban almacenados correctamente. La tasa de ausentismo (TA) se obtuvo como el cociente entre las citas no asistidas sin aviso previo y las citas programadas elegibles, multiplicado por cien; se excluyeron del denominador las citas canceladas por la institución, las canceladas con anticipación por el paciente y las reprogramadas antes de la fecha prevista. El nivel de consultas atendidas (NCA) se calculó como el cociente entre las consultas resueltas y las consultas recibidas, multiplicado por cien, considerando resuelta aquella consulta en la que el paciente obtuvo la información solicitada en el primer contacto, sin ser derivado a otra persona o área y sin necesidad de volver a comunicarse por el mismo motivo. Este criterio se aplicó por igual en el pretest, cuando las consultas se atendieron por los canales habituales, y en el postest, cuando se atendieron a través del chatbot. La tabla de operacionalización se incluyó en el Anexo 1.</w:t>
      </w:r>
    </w:p>
    <w:p>
      <w:pPr>
        <w:spacing w:after="120" w:before="0" w:line="360"/>
        <w:jc w:val="both"/>
      </w:pPr>
      <w:r>
        <w:rPr>
          <w:rFonts w:ascii="Arial" w:cs="Arial" w:eastAsia="Arial" w:hAnsi="Arial"/>
          <w:sz w:val="24"/>
          <w:szCs w:val="24"/>
        </w:rPr>
        <w:t xml:space="preserve">La unidad de análisis varió según el indicador: para el TPR fue cada proceso de registro de paciente efectivamente ejecutado; para la tasa de ausentismo, cada cita médica programada elegible; y para el nivel de consultas atendidas, cada consulta administrativa recibida. En consecuencia, la población estuvo constituida por los procesos de gestión de pacientes generados en la fundación durante el periodo de estudio, es decir, los registros, las citas programadas y las consultas administrativas. Arias [40] señaló que la población debía delimitarse según criterios temporales y contextuales que permitieran obtener conclusiones sobre el conjunto de elementos de interés. Como población accesible se consideró a los 32 pacientes activos de la institución, de los cuales 30 cumplieron los criterios de selección y conformaron la muestra de referencia, mediante un muestreo no probabilístico por conveniencia, habitual en investigaciones aplicadas desarrolladas en contextos institucionales específicos [41]. Los procesos generados por estos pacientes durante los periodos de observación constituyeron la base para el cálculo de los indicadores, sin fijar un número de eventos por paciente ni por sesión.</w:t>
      </w:r>
    </w:p>
    <w:p>
      <w:pPr>
        <w:spacing w:after="120" w:before="0" w:line="360"/>
        <w:jc w:val="both"/>
      </w:pPr>
      <w:r>
        <w:rPr>
          <w:rFonts w:ascii="Arial" w:cs="Arial" w:eastAsia="Arial" w:hAnsi="Arial"/>
          <w:sz w:val="24"/>
          <w:szCs w:val="24"/>
        </w:rPr>
        <w:t xml:space="preserve">Se incluyó a los pacientes activos de la fundación durante el periodo de estudio, mayores de edad, con al menos una cita programada en la institución en dicho periodo y que aceptaron participar mediante la firma del consentimiento informado. Se excluyó a quienes presentaron registros incompletos o ilegibles, suspendieron su tratamiento durante el estudio o no otorgaron o retiraron su consentimiento. La recolección se organizó en 13 sesiones de observación durante el pretest, entre el 3 y el 31 de agosto de 2026, y en 13 sesiones durante el postest, entre el 2 y el 30 de setiembre de 2026, en ambos casos los lunes, miércoles y viernes. Para controlar la posible variación de la demanda según el día de la semana, las sesiones se emparejaron por día y por orden de aparición: el primer lunes del pretest con el primer lunes del postest, el primer miércoles con el primer miércoles, y así sucesivamente. De ese modo se formaron doce pares con el mismo día de la semana; el par restante unió la última sesión del pretest (lunes 31 de agosto) con la última del postest (miércoles 30 de setiembre). El calendario de sesiones y el detalle de la decisión muestral se incluyeron en el Anexo 7.</w:t>
      </w:r>
    </w:p>
    <w:p>
      <w:pPr>
        <w:spacing w:after="120" w:before="0" w:line="360"/>
        <w:jc w:val="both"/>
      </w:pPr>
      <w:r>
        <w:rPr>
          <w:rFonts w:ascii="Arial" w:cs="Arial" w:eastAsia="Arial" w:hAnsi="Arial"/>
          <w:sz w:val="24"/>
          <w:szCs w:val="24"/>
        </w:rPr>
        <w:t xml:space="preserve">Las técnicas de recolección fueron la observación estructurada, aplicada a la medición de los tiempos de registro durante el pretest, y el análisis documental de los registros institucionales y del sistema, aplicado a las citas y consultas en ambas etapas y a los tiempos de registro en el postest. Se utilizaron dos instrumentos diseñados para el estudio e implementados en una hoja de cálculo con listas desplegables y cálculos automáticos. El primero fue la ficha de registro de tiempos, que consignó la fecha, el código del paciente y las horas de inicio y fin de cada registro; durante el pretest se completó manualmente con un registro estandarizado y, durante el postest, a partir de las marcas de tiempo generadas por el sistema, con la misma definición de inicio y fin en ambas etapas. El segundo fue la ficha de registro de gestión de pacientes, que consignó para cada cita su estado (asistió, no asistió, cancelada o reprogramada) y para cada consulta su categoría, canal, resolución y eventual derivación. Adicionalmente, antes de iniciar el postest se constató la implementación de la variable independiente mediante una ficha de verificación que registró, para cada módulo del sistema, las funcionalidades comprobadas, la fecha, el resultado y la evidencia correspondiente. Los tres instrumentos se incluyeron en el Anexo 2.</w:t>
      </w:r>
    </w:p>
    <w:p>
      <w:pPr>
        <w:spacing w:after="120" w:before="0" w:line="360"/>
        <w:jc w:val="both"/>
      </w:pPr>
      <w:r>
        <w:rPr>
          <w:rFonts w:ascii="Arial" w:cs="Arial" w:eastAsia="Arial" w:hAnsi="Arial"/>
          <w:sz w:val="24"/>
          <w:szCs w:val="24"/>
        </w:rPr>
        <w:t xml:space="preserve">La validez de contenido de los instrumentos se evaluó mediante el juicio de tres expertos, quienes calificaron cada campo según los criterios de suficiencia, claridad, coherencia y relevancia propuestos por Escobar-Pérez y Cuervo-Martínez [42]. </w:t>
      </w:r>
      <w:r>
        <w:rPr>
          <w:rFonts w:ascii="Arial" w:cs="Arial" w:eastAsia="Arial" w:hAnsi="Arial"/>
          <w:sz w:val="24"/>
          <w:szCs w:val="24"/>
          <w:highlight w:val="yellow"/>
        </w:rPr>
        <w:t xml:space="preserve">Consignar el resultado de la validación: nombres y grados de los tres jueces, calificación obtenida y observaciones levantadas.</w:t>
      </w:r>
      <w:r>
        <w:rPr>
          <w:rFonts w:ascii="Arial" w:cs="Arial" w:eastAsia="Arial" w:hAnsi="Arial"/>
          <w:sz w:val="24"/>
          <w:szCs w:val="24"/>
        </w:rPr>
        <w:t xml:space="preserve"> Las fichas de validación se incluyeron en el Anexo 3. Dado que los instrumentos registraron eventos objetivos y no ítems de percepción, no correspondió calcular coeficientes de consistencia interna; la confiabilidad de la medición se resguardó mediante definiciones operacionales explícitas, reglas de registro comunes a ambas etapas y la revisión de la integridad de los datos antes del análisis.</w:t>
      </w:r>
    </w:p>
    <w:p>
      <w:pPr>
        <w:spacing w:after="120" w:before="0" w:line="360"/>
        <w:jc w:val="both"/>
      </w:pPr>
      <w:r>
        <w:rPr>
          <w:rFonts w:ascii="Arial" w:cs="Arial" w:eastAsia="Arial" w:hAnsi="Arial"/>
          <w:sz w:val="24"/>
          <w:szCs w:val="24"/>
        </w:rPr>
        <w:t xml:space="preserve">El procedimiento se desarrolló en tres fases. En la primera se aplicó el pretest con los canales y procedimientos habituales de la institución. En la segunda se implementó el sistema web con chatbot y se capacitó al personal en su uso </w:t>
      </w:r>
      <w:r>
        <w:rPr>
          <w:rFonts w:ascii="Arial" w:cs="Arial" w:eastAsia="Arial" w:hAnsi="Arial"/>
          <w:sz w:val="24"/>
          <w:szCs w:val="24"/>
          <w:highlight w:val="yellow"/>
        </w:rPr>
        <w:t xml:space="preserve">(precisar la fecha de puesta en funcionamiento y de la capacitación, entre el 31 de agosto y el 2 de setiembre de 2026)</w:t>
      </w:r>
      <w:r>
        <w:rPr>
          <w:rFonts w:ascii="Arial" w:cs="Arial" w:eastAsia="Arial" w:hAnsi="Arial"/>
          <w:sz w:val="24"/>
          <w:szCs w:val="24"/>
        </w:rPr>
        <w:t xml:space="preserve">. En la tercera se aplicó el postest con el sistema en funcionamiento. Los datos se consolidaron en la hoja de cálculo, que calculó el valor de cada indicador por sesión: el TPR como el promedio de los registros de la sesión y la TA y el NCA como las proporciones correspondientes a los eventos de esa sesión.</w:t>
      </w:r>
    </w:p>
    <w:p>
      <w:pPr>
        <w:spacing w:after="120" w:before="0" w:line="360"/>
        <w:jc w:val="both"/>
      </w:pPr>
      <w:r>
        <w:rPr>
          <w:rFonts w:ascii="Arial" w:cs="Arial" w:eastAsia="Arial" w:hAnsi="Arial"/>
          <w:sz w:val="24"/>
          <w:szCs w:val="24"/>
        </w:rPr>
        <w:t xml:space="preserve">Para el análisis de datos se utilizó IBM SPSS Statistics, versión 29. A nivel descriptivo se calcularon la media, la mediana, la desviación estándar y los valores mínimo y máximo de cada indicador en ambas etapas; adicionalmente, se reportó el valor global de cada indicador calculado sobre el total de eventos de cada etapa. A nivel inferencial, la unidad de comparación estuvo constituida por los 13 pares de sesiones pretest-postest. Si una sesión no registró eventos para un indicador, el par correspondiente se excluyó del análisis de ese indicador y se informó el número efectivo de pares. Como análisis de sensibilidad, cada contraste se repitió excluyendo el par formado por sesiones de distinto día de la semana, a fin de verificar que la decisión de emparejamiento no alterara las conclusiones. La normalidad de las diferencias se evaluó con la prueba de Shapiro-Wilk, adecuada para muestras pequeñas; cuando se verificó normalidad se aplicó la prueba t de Student para muestras relacionadas y, en caso contrario, la prueba de rangos con signo de Wilcoxon [38]. Para cada indicador se contrastó una hipótesis nula de ausencia de diferencia frente a una hipótesis alterna direccional. Como la primera y la tercera hipótesis específicas se formularon en términos de mejora, para el contraste la mejora del tiempo promedio de registro se entendió como una disminución de su valor en el postest y la mejora del nivel de consultas atendidas como un aumento; la segunda hipótesis ya expresó una disminución de la tasa de ausentismo. De igual modo, la hipótesis general se consideró respaldada cuando los tres indicadores mostraron cambios significativos en la dirección esperada. Se trabajó con un nivel de significancia de 0,05 en pruebas unilaterales, de modo que un valor p menor a 0,05 llevó a rechazar la hipótesis nula, y se reportó el tamaño del efecto para valorar la magnitud práctica de los cambios.</w:t>
      </w:r>
    </w:p>
    <w:p>
      <w:pPr>
        <w:spacing w:after="120" w:before="0" w:line="360"/>
        <w:jc w:val="both"/>
      </w:pPr>
      <w:r>
        <w:rPr>
          <w:rFonts w:ascii="Arial" w:cs="Arial" w:eastAsia="Arial" w:hAnsi="Arial"/>
          <w:sz w:val="24"/>
          <w:szCs w:val="24"/>
        </w:rPr>
        <w:t xml:space="preserve">En cuanto a los aspectos éticos, la investigación se rigió por el Código de Ética en Investigación de la Universidad César Vallejo y por los principios de autonomía, beneficencia, no maleficencia y justicia [15]. La participación fue voluntaria y se formalizó mediante el consentimiento informado (Anexo 4); dado que todos los participantes fueron mayores de edad, no se requirió asentimiento. La fundación autorizó la ejecución del estudio y el uso de su información (Anexos 5 y 6), y se preservó su anonimato, de modo que ni el título ni el informe permitieran identificarla. Los datos personales se reemplazaron por códigos alfanuméricos, se almacenaron con acceso restringido a los investigadores y se trataron conforme a la Ley N.° 29733, Ley de Protección de Datos Personales [43]. La originalidad del informe se verificó con el software Turnitin (Anexo 10). </w:t>
      </w:r>
      <w:r>
        <w:rPr>
          <w:rFonts w:ascii="Arial" w:cs="Arial" w:eastAsia="Arial" w:hAnsi="Arial"/>
          <w:sz w:val="24"/>
          <w:szCs w:val="24"/>
          <w:highlight w:val="yellow"/>
        </w:rPr>
        <w:t xml:space="preserve">Declarar las herramientas de inteligencia artificial utilizadas como apoyo a la investigación, con su versión, conforme al numeral 4.4.3 de la guía.</w:t>
      </w:r>
    </w:p>
    <w:p>
      <w:pPr>
        <w:pStyle w:val="Heading1"/>
        <w:pageBreakBefore/>
        <w:spacing w:after="240" w:line="360"/>
        <w:jc w:val="left"/>
      </w:pPr>
      <w:r>
        <w:rPr>
          <w:rFonts w:ascii="Arial" w:cs="Arial" w:eastAsia="Arial" w:hAnsi="Arial"/>
          <w:b/>
          <w:bCs/>
          <w:sz w:val="24"/>
          <w:szCs w:val="24"/>
        </w:rPr>
        <w:t xml:space="preserve">III. RESULTADOS</w:t>
      </w:r>
    </w:p>
    <w:p>
      <w:pPr>
        <w:spacing w:after="120" w:before="0" w:line="360"/>
        <w:jc w:val="both"/>
      </w:pPr>
      <w:r>
        <w:rPr>
          <w:rFonts w:ascii="Arial" w:cs="Arial" w:eastAsia="Arial" w:hAnsi="Arial"/>
          <w:sz w:val="24"/>
          <w:szCs w:val="24"/>
          <w:highlight w:val="yellow"/>
        </w:rPr>
        <w:t xml:space="preserve">Capítulo pendiente de datos reales. Se completará en la Sesión 14 con los valores de las 13 sesiones pretest y las 13 postest consolidadas en la Sesión 13. Las tablas siguientes muestran la estructura prevista, en el orden de los objetivos: primero el general y luego los específicos. Después de cada tabla se redactará, en pasado y en prosa, una breve interpretación sin repetir los valores de la tabla.</w:t>
      </w:r>
    </w:p>
    <w:p>
      <w:pPr>
        <w:pStyle w:val="TablaTitulo"/>
        <w:keepNext/>
        <w:spacing w:after="60" w:before="240" w:line="360"/>
      </w:pPr>
      <w:r>
        <w:rPr>
          <w:rFonts w:ascii="Arial" w:cs="Arial" w:eastAsia="Arial" w:hAnsi="Arial"/>
          <w:b/>
          <w:bCs/>
          <w:sz w:val="24"/>
          <w:szCs w:val="24"/>
        </w:rPr>
        <w:t xml:space="preserve">Tabla 1</w:t>
      </w:r>
      <w:r>
        <w:rPr>
          <w:rFonts w:ascii="Arial" w:cs="Arial" w:eastAsia="Arial" w:hAnsi="Arial"/>
          <w:i/>
          <w:iCs/>
          <w:sz w:val="24"/>
          <w:szCs w:val="24"/>
        </w:rPr>
        <w:br/>
        <w:t xml:space="preserve">Comparación de los indicadores de gestión de pacientes antes y después de la implementación del sistema web con chatbot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1000"/>
        <w:gridCol w:w="1100"/>
        <w:gridCol w:w="1050"/>
        <w:gridCol w:w="1000"/>
        <w:gridCol w:w="1176"/>
      </w:tblGrid>
      <w:tr>
        <w:trPr>
          <w:tblHeader/>
        </w:trPr>
        <w:tc>
          <w:tcPr>
            <w:tcW w:type="dxa" w:w="27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Indicador</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Pretest</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Postest</w:t>
            </w:r>
          </w:p>
        </w:tc>
        <w:tc>
          <w:tcPr>
            <w:tcW w:type="dxa" w:w="11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Diferencia</w:t>
            </w:r>
          </w:p>
        </w:tc>
        <w:tc>
          <w:tcPr>
            <w:tcW w:type="dxa" w:w="105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Variación (%)</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Pares válidos</w:t>
            </w:r>
          </w:p>
        </w:tc>
        <w:tc>
          <w:tcPr>
            <w:tcW w:type="dxa" w:w="117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Tiempo promedio de registro (min)</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7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Tasa de ausentismo (%)</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7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Nivel de consultas atendidas (%)</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7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Valores medios de las sesiones de observación. p: significancia unilateral de la prueba aplicada a cada indicador.</w:t>
      </w:r>
    </w:p>
    <w:p>
      <w:pPr>
        <w:spacing w:after="120" w:before="0" w:line="360"/>
        <w:jc w:val="both"/>
      </w:pPr>
      <w:r>
        <w:rPr>
          <w:rFonts w:ascii="Arial" w:cs="Arial" w:eastAsia="Arial" w:hAnsi="Arial"/>
          <w:sz w:val="24"/>
          <w:szCs w:val="24"/>
          <w:highlight w:val="yellow"/>
        </w:rPr>
        <w:t xml:space="preserve">Interpretación del objetivo general.</w:t>
      </w:r>
    </w:p>
    <w:p>
      <w:pPr>
        <w:pStyle w:val="TablaTitulo"/>
        <w:keepNext/>
        <w:spacing w:after="60" w:before="240" w:line="360"/>
      </w:pPr>
      <w:r>
        <w:rPr>
          <w:rFonts w:ascii="Arial" w:cs="Arial" w:eastAsia="Arial" w:hAnsi="Arial"/>
          <w:b/>
          <w:bCs/>
          <w:sz w:val="24"/>
          <w:szCs w:val="24"/>
        </w:rPr>
        <w:t xml:space="preserve">Tabla 2</w:t>
      </w:r>
      <w:r>
        <w:rPr>
          <w:rFonts w:ascii="Arial" w:cs="Arial" w:eastAsia="Arial" w:hAnsi="Arial"/>
          <w:i/>
          <w:iCs/>
          <w:sz w:val="24"/>
          <w:szCs w:val="24"/>
        </w:rPr>
        <w:br/>
        <w:t xml:space="preserve">Estadísticos descriptivos del tiempo promedio de registro en el pretest y el postest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002"/>
        <w:gridCol w:w="1002"/>
        <w:gridCol w:w="1002"/>
        <w:gridCol w:w="1002"/>
        <w:gridCol w:w="1002"/>
        <w:gridCol w:w="1002"/>
        <w:gridCol w:w="1002"/>
        <w:gridCol w:w="1010"/>
      </w:tblGrid>
      <w:tr>
        <w:trPr>
          <w:tblHeader/>
        </w:trPr>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Etapa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Sesiones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Eventos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Mediana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Mínimo</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Máximo</w:t>
            </w:r>
          </w:p>
        </w:tc>
        <w:tc>
          <w:tcPr>
            <w:tcW w:type="dxa" w:w="101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Valor global</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Pretest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Postest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TPR (min). DE: desviación estándar. El valor global se calcula sobre el total de eventos de cada etapa.</w:t>
      </w:r>
    </w:p>
    <w:p>
      <w:pPr>
        <w:spacing w:after="120" w:before="0" w:line="360"/>
        <w:jc w:val="both"/>
      </w:pPr>
      <w:r>
        <w:rPr>
          <w:rFonts w:ascii="Arial" w:cs="Arial" w:eastAsia="Arial" w:hAnsi="Arial"/>
          <w:sz w:val="24"/>
          <w:szCs w:val="24"/>
          <w:highlight w:val="yellow"/>
        </w:rPr>
        <w:t xml:space="preserve">Interpretación descriptiva del tiempo promedio de registro.</w:t>
      </w:r>
    </w:p>
    <w:p>
      <w:pPr>
        <w:pStyle w:val="TablaTitulo"/>
        <w:keepNext/>
        <w:spacing w:after="60" w:before="240" w:line="360"/>
      </w:pPr>
      <w:r>
        <w:rPr>
          <w:rFonts w:ascii="Arial" w:cs="Arial" w:eastAsia="Arial" w:hAnsi="Arial"/>
          <w:b/>
          <w:bCs/>
          <w:sz w:val="24"/>
          <w:szCs w:val="24"/>
        </w:rPr>
        <w:t xml:space="preserve">Tabla 3</w:t>
      </w:r>
      <w:r>
        <w:rPr>
          <w:rFonts w:ascii="Arial" w:cs="Arial" w:eastAsia="Arial" w:hAnsi="Arial"/>
          <w:i/>
          <w:iCs/>
          <w:sz w:val="24"/>
          <w:szCs w:val="24"/>
        </w:rPr>
        <w:br/>
        <w:t xml:space="preserve">Prueba de normalidad de las diferencias del tiempo promedio de registro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200"/>
        <w:gridCol w:w="2026"/>
      </w:tblGrid>
      <w:tr>
        <w:trPr>
          <w:tblHeader/>
        </w:trPr>
        <w:tc>
          <w:tcPr>
            <w:tcW w:type="dxa" w:w="3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Diferencia (postest − pretest)</w:t>
            </w:r>
          </w:p>
        </w:tc>
        <w:tc>
          <w:tcPr>
            <w:tcW w:type="dxa" w:w="2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 de Shapiro-Wilk</w:t>
            </w:r>
          </w:p>
        </w:tc>
        <w:tc>
          <w:tcPr>
            <w:tcW w:type="dxa" w:w="1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gl</w:t>
            </w:r>
          </w:p>
        </w:tc>
        <w:tc>
          <w:tcPr>
            <w:tcW w:type="dxa" w:w="2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TPR (min)</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2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gl: grados de libertad (número de pares válidos). Si p ≥ 0,05 se asume normalidad.</w:t>
      </w:r>
    </w:p>
    <w:p>
      <w:pPr>
        <w:spacing w:after="120" w:before="0" w:line="360"/>
        <w:jc w:val="both"/>
      </w:pPr>
      <w:r>
        <w:rPr>
          <w:rFonts w:ascii="Arial" w:cs="Arial" w:eastAsia="Arial" w:hAnsi="Arial"/>
          <w:sz w:val="24"/>
          <w:szCs w:val="24"/>
          <w:highlight w:val="yellow"/>
        </w:rPr>
        <w:t xml:space="preserve">Hipótesis estadísticas de la hipótesis específica 1: H0, no existe diferencia significativa en el tiempo promedio de registro entre el pretest y el postest; Ha, el tiempo promedio de registro del postest es significativamente menor que el del pretest.</w:t>
      </w:r>
    </w:p>
    <w:p>
      <w:pPr>
        <w:pStyle w:val="TablaTitulo"/>
        <w:keepNext/>
        <w:spacing w:after="60" w:before="240" w:line="360"/>
      </w:pPr>
      <w:r>
        <w:rPr>
          <w:rFonts w:ascii="Arial" w:cs="Arial" w:eastAsia="Arial" w:hAnsi="Arial"/>
          <w:b/>
          <w:bCs/>
          <w:sz w:val="24"/>
          <w:szCs w:val="24"/>
        </w:rPr>
        <w:t xml:space="preserve">Tabla 4</w:t>
      </w:r>
      <w:r>
        <w:rPr>
          <w:rFonts w:ascii="Arial" w:cs="Arial" w:eastAsia="Arial" w:hAnsi="Arial"/>
          <w:i/>
          <w:iCs/>
          <w:sz w:val="24"/>
          <w:szCs w:val="24"/>
        </w:rPr>
        <w:br/>
        <w:t xml:space="preserve">Contraste de hipótesis del tiempo promedio de registro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Prueba aplicada</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 (unilateral)</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Tamaño del efecto</w:t>
            </w:r>
          </w:p>
        </w:tc>
        <w:tc>
          <w:tcPr>
            <w:tcW w:type="dxa" w:w="180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Decisión</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Se aplica la prueba t de Student para muestras relacionadas si las diferencias son normales; en caso contrario, la prueba de rangos con signo de Wilcoxon.</w:t>
      </w:r>
    </w:p>
    <w:p>
      <w:pPr>
        <w:spacing w:after="120" w:before="0" w:line="360"/>
        <w:jc w:val="both"/>
      </w:pPr>
      <w:r>
        <w:rPr>
          <w:rFonts w:ascii="Arial" w:cs="Arial" w:eastAsia="Arial" w:hAnsi="Arial"/>
          <w:sz w:val="24"/>
          <w:szCs w:val="24"/>
          <w:highlight w:val="yellow"/>
        </w:rPr>
        <w:t xml:space="preserve">Interpretación del contraste para la hipótesis específica 1.</w:t>
      </w:r>
    </w:p>
    <w:p>
      <w:pPr>
        <w:pStyle w:val="TablaTitulo"/>
        <w:keepNext/>
        <w:spacing w:after="60" w:before="240" w:line="360"/>
      </w:pPr>
      <w:r>
        <w:rPr>
          <w:rFonts w:ascii="Arial" w:cs="Arial" w:eastAsia="Arial" w:hAnsi="Arial"/>
          <w:b/>
          <w:bCs/>
          <w:sz w:val="24"/>
          <w:szCs w:val="24"/>
        </w:rPr>
        <w:t xml:space="preserve">Tabla 5</w:t>
      </w:r>
      <w:r>
        <w:rPr>
          <w:rFonts w:ascii="Arial" w:cs="Arial" w:eastAsia="Arial" w:hAnsi="Arial"/>
          <w:i/>
          <w:iCs/>
          <w:sz w:val="24"/>
          <w:szCs w:val="24"/>
        </w:rPr>
        <w:br/>
        <w:t xml:space="preserve">Estadísticos descriptivos del tasa de ausentismo en el pretest y el postest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002"/>
        <w:gridCol w:w="1002"/>
        <w:gridCol w:w="1002"/>
        <w:gridCol w:w="1002"/>
        <w:gridCol w:w="1002"/>
        <w:gridCol w:w="1002"/>
        <w:gridCol w:w="1002"/>
        <w:gridCol w:w="1010"/>
      </w:tblGrid>
      <w:tr>
        <w:trPr>
          <w:tblHeader/>
        </w:trPr>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Etapa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Sesiones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Eventos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Mediana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Mínimo</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Máximo</w:t>
            </w:r>
          </w:p>
        </w:tc>
        <w:tc>
          <w:tcPr>
            <w:tcW w:type="dxa" w:w="101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Valor global</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Pretest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Postest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TA (%). DE: desviación estándar. El valor global se calcula sobre el total de eventos de cada etapa.</w:t>
      </w:r>
    </w:p>
    <w:p>
      <w:pPr>
        <w:spacing w:after="120" w:before="0" w:line="360"/>
        <w:jc w:val="both"/>
      </w:pPr>
      <w:r>
        <w:rPr>
          <w:rFonts w:ascii="Arial" w:cs="Arial" w:eastAsia="Arial" w:hAnsi="Arial"/>
          <w:sz w:val="24"/>
          <w:szCs w:val="24"/>
          <w:highlight w:val="yellow"/>
        </w:rPr>
        <w:t xml:space="preserve">Interpretación descriptiva del tasa de ausentismo.</w:t>
      </w:r>
    </w:p>
    <w:p>
      <w:pPr>
        <w:pStyle w:val="TablaTitulo"/>
        <w:keepNext/>
        <w:spacing w:after="60" w:before="240" w:line="360"/>
      </w:pPr>
      <w:r>
        <w:rPr>
          <w:rFonts w:ascii="Arial" w:cs="Arial" w:eastAsia="Arial" w:hAnsi="Arial"/>
          <w:b/>
          <w:bCs/>
          <w:sz w:val="24"/>
          <w:szCs w:val="24"/>
        </w:rPr>
        <w:t xml:space="preserve">Tabla 6</w:t>
      </w:r>
      <w:r>
        <w:rPr>
          <w:rFonts w:ascii="Arial" w:cs="Arial" w:eastAsia="Arial" w:hAnsi="Arial"/>
          <w:i/>
          <w:iCs/>
          <w:sz w:val="24"/>
          <w:szCs w:val="24"/>
        </w:rPr>
        <w:br/>
        <w:t xml:space="preserve">Prueba de normalidad de las diferencias del tasa de ausentismo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200"/>
        <w:gridCol w:w="2026"/>
      </w:tblGrid>
      <w:tr>
        <w:trPr>
          <w:tblHeader/>
        </w:trPr>
        <w:tc>
          <w:tcPr>
            <w:tcW w:type="dxa" w:w="3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Diferencia (postest − pretest)</w:t>
            </w:r>
          </w:p>
        </w:tc>
        <w:tc>
          <w:tcPr>
            <w:tcW w:type="dxa" w:w="2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 de Shapiro-Wilk</w:t>
            </w:r>
          </w:p>
        </w:tc>
        <w:tc>
          <w:tcPr>
            <w:tcW w:type="dxa" w:w="1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gl</w:t>
            </w:r>
          </w:p>
        </w:tc>
        <w:tc>
          <w:tcPr>
            <w:tcW w:type="dxa" w:w="2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TA (%)</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2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gl: grados de libertad (número de pares válidos). Si p ≥ 0,05 se asume normalidad.</w:t>
      </w:r>
    </w:p>
    <w:p>
      <w:pPr>
        <w:spacing w:after="120" w:before="0" w:line="360"/>
        <w:jc w:val="both"/>
      </w:pPr>
      <w:r>
        <w:rPr>
          <w:rFonts w:ascii="Arial" w:cs="Arial" w:eastAsia="Arial" w:hAnsi="Arial"/>
          <w:sz w:val="24"/>
          <w:szCs w:val="24"/>
          <w:highlight w:val="yellow"/>
        </w:rPr>
        <w:t xml:space="preserve">Hipótesis estadísticas de la hipótesis específica 2: H0, no existe diferencia significativa en el tasa de ausentismo entre el pretest y el postest; Ha, el tasa de ausentismo del postest es significativamente menor que el del pretest.</w:t>
      </w:r>
    </w:p>
    <w:p>
      <w:pPr>
        <w:pStyle w:val="TablaTitulo"/>
        <w:keepNext/>
        <w:spacing w:after="60" w:before="240" w:line="360"/>
      </w:pPr>
      <w:r>
        <w:rPr>
          <w:rFonts w:ascii="Arial" w:cs="Arial" w:eastAsia="Arial" w:hAnsi="Arial"/>
          <w:b/>
          <w:bCs/>
          <w:sz w:val="24"/>
          <w:szCs w:val="24"/>
        </w:rPr>
        <w:t xml:space="preserve">Tabla 7</w:t>
      </w:r>
      <w:r>
        <w:rPr>
          <w:rFonts w:ascii="Arial" w:cs="Arial" w:eastAsia="Arial" w:hAnsi="Arial"/>
          <w:i/>
          <w:iCs/>
          <w:sz w:val="24"/>
          <w:szCs w:val="24"/>
        </w:rPr>
        <w:br/>
        <w:t xml:space="preserve">Contraste de hipótesis del tasa de ausentismo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Prueba aplicada</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 (unilateral)</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Tamaño del efecto</w:t>
            </w:r>
          </w:p>
        </w:tc>
        <w:tc>
          <w:tcPr>
            <w:tcW w:type="dxa" w:w="180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Decisión</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Se aplica la prueba t de Student para muestras relacionadas si las diferencias son normales; en caso contrario, la prueba de rangos con signo de Wilcoxon.</w:t>
      </w:r>
    </w:p>
    <w:p>
      <w:pPr>
        <w:spacing w:after="120" w:before="0" w:line="360"/>
        <w:jc w:val="both"/>
      </w:pPr>
      <w:r>
        <w:rPr>
          <w:rFonts w:ascii="Arial" w:cs="Arial" w:eastAsia="Arial" w:hAnsi="Arial"/>
          <w:sz w:val="24"/>
          <w:szCs w:val="24"/>
          <w:highlight w:val="yellow"/>
        </w:rPr>
        <w:t xml:space="preserve">Interpretación del contraste para la hipótesis específica 2.</w:t>
      </w:r>
    </w:p>
    <w:p>
      <w:pPr>
        <w:pStyle w:val="TablaTitulo"/>
        <w:keepNext/>
        <w:spacing w:after="60" w:before="240" w:line="360"/>
      </w:pPr>
      <w:r>
        <w:rPr>
          <w:rFonts w:ascii="Arial" w:cs="Arial" w:eastAsia="Arial" w:hAnsi="Arial"/>
          <w:b/>
          <w:bCs/>
          <w:sz w:val="24"/>
          <w:szCs w:val="24"/>
        </w:rPr>
        <w:t xml:space="preserve">Tabla 8</w:t>
      </w:r>
      <w:r>
        <w:rPr>
          <w:rFonts w:ascii="Arial" w:cs="Arial" w:eastAsia="Arial" w:hAnsi="Arial"/>
          <w:i/>
          <w:iCs/>
          <w:sz w:val="24"/>
          <w:szCs w:val="24"/>
        </w:rPr>
        <w:br/>
        <w:t xml:space="preserve">Estadísticos descriptivos del nivel de consultas atendidas en el pretest y el postest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002"/>
        <w:gridCol w:w="1002"/>
        <w:gridCol w:w="1002"/>
        <w:gridCol w:w="1002"/>
        <w:gridCol w:w="1002"/>
        <w:gridCol w:w="1002"/>
        <w:gridCol w:w="1002"/>
        <w:gridCol w:w="1010"/>
      </w:tblGrid>
      <w:tr>
        <w:trPr>
          <w:tblHeader/>
        </w:trPr>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Etapa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Sesiones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Eventos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Mediana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Mínimo</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Máximo</w:t>
            </w:r>
          </w:p>
        </w:tc>
        <w:tc>
          <w:tcPr>
            <w:tcW w:type="dxa" w:w="101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Valor global</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Pretest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Postest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NCA (%). DE: desviación estándar. El valor global se calcula sobre el total de eventos de cada etapa.</w:t>
      </w:r>
    </w:p>
    <w:p>
      <w:pPr>
        <w:spacing w:after="120" w:before="0" w:line="360"/>
        <w:jc w:val="both"/>
      </w:pPr>
      <w:r>
        <w:rPr>
          <w:rFonts w:ascii="Arial" w:cs="Arial" w:eastAsia="Arial" w:hAnsi="Arial"/>
          <w:sz w:val="24"/>
          <w:szCs w:val="24"/>
          <w:highlight w:val="yellow"/>
        </w:rPr>
        <w:t xml:space="preserve">Interpretación descriptiva del nivel de consultas atendidas.</w:t>
      </w:r>
    </w:p>
    <w:p>
      <w:pPr>
        <w:pStyle w:val="TablaTitulo"/>
        <w:keepNext/>
        <w:spacing w:after="60" w:before="240" w:line="360"/>
      </w:pPr>
      <w:r>
        <w:rPr>
          <w:rFonts w:ascii="Arial" w:cs="Arial" w:eastAsia="Arial" w:hAnsi="Arial"/>
          <w:b/>
          <w:bCs/>
          <w:sz w:val="24"/>
          <w:szCs w:val="24"/>
        </w:rPr>
        <w:t xml:space="preserve">Tabla 9</w:t>
      </w:r>
      <w:r>
        <w:rPr>
          <w:rFonts w:ascii="Arial" w:cs="Arial" w:eastAsia="Arial" w:hAnsi="Arial"/>
          <w:i/>
          <w:iCs/>
          <w:sz w:val="24"/>
          <w:szCs w:val="24"/>
        </w:rPr>
        <w:br/>
        <w:t xml:space="preserve">Prueba de normalidad de las diferencias del nivel de consultas atendidas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200"/>
        <w:gridCol w:w="2026"/>
      </w:tblGrid>
      <w:tr>
        <w:trPr>
          <w:tblHeader/>
        </w:trPr>
        <w:tc>
          <w:tcPr>
            <w:tcW w:type="dxa" w:w="3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Diferencia (postest − pretest)</w:t>
            </w:r>
          </w:p>
        </w:tc>
        <w:tc>
          <w:tcPr>
            <w:tcW w:type="dxa" w:w="2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 de Shapiro-Wilk</w:t>
            </w:r>
          </w:p>
        </w:tc>
        <w:tc>
          <w:tcPr>
            <w:tcW w:type="dxa" w:w="1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gl</w:t>
            </w:r>
          </w:p>
        </w:tc>
        <w:tc>
          <w:tcPr>
            <w:tcW w:type="dxa" w:w="2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NCA (%)</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2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gl: grados de libertad (número de pares válidos). Si p ≥ 0,05 se asume normalidad.</w:t>
      </w:r>
    </w:p>
    <w:p>
      <w:pPr>
        <w:spacing w:after="120" w:before="0" w:line="360"/>
        <w:jc w:val="both"/>
      </w:pPr>
      <w:r>
        <w:rPr>
          <w:rFonts w:ascii="Arial" w:cs="Arial" w:eastAsia="Arial" w:hAnsi="Arial"/>
          <w:sz w:val="24"/>
          <w:szCs w:val="24"/>
          <w:highlight w:val="yellow"/>
        </w:rPr>
        <w:t xml:space="preserve">Hipótesis estadísticas de la hipótesis específica 3: H0, no existe diferencia significativa en el nivel de consultas atendidas entre el pretest y el postest; Ha, el nivel de consultas atendidas del postest es significativamente mayor que el del pretest.</w:t>
      </w:r>
    </w:p>
    <w:p>
      <w:pPr>
        <w:pStyle w:val="TablaTitulo"/>
        <w:keepNext/>
        <w:spacing w:after="60" w:before="240" w:line="360"/>
      </w:pPr>
      <w:r>
        <w:rPr>
          <w:rFonts w:ascii="Arial" w:cs="Arial" w:eastAsia="Arial" w:hAnsi="Arial"/>
          <w:b/>
          <w:bCs/>
          <w:sz w:val="24"/>
          <w:szCs w:val="24"/>
        </w:rPr>
        <w:t xml:space="preserve">Tabla 10</w:t>
      </w:r>
      <w:r>
        <w:rPr>
          <w:rFonts w:ascii="Arial" w:cs="Arial" w:eastAsia="Arial" w:hAnsi="Arial"/>
          <w:i/>
          <w:iCs/>
          <w:sz w:val="24"/>
          <w:szCs w:val="24"/>
        </w:rPr>
        <w:br/>
        <w:t xml:space="preserve">Contraste de hipótesis del nivel de consultas atendidas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Prueba aplicada</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 (unilateral)</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Tamaño del efecto</w:t>
            </w:r>
          </w:p>
        </w:tc>
        <w:tc>
          <w:tcPr>
            <w:tcW w:type="dxa" w:w="180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Decisión</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Se aplica la prueba t de Student para muestras relacionadas si las diferencias son normales; en caso contrario, la prueba de rangos con signo de Wilcoxon.</w:t>
      </w:r>
    </w:p>
    <w:p>
      <w:pPr>
        <w:spacing w:after="120" w:before="0" w:line="360"/>
        <w:jc w:val="both"/>
      </w:pPr>
      <w:r>
        <w:rPr>
          <w:rFonts w:ascii="Arial" w:cs="Arial" w:eastAsia="Arial" w:hAnsi="Arial"/>
          <w:sz w:val="24"/>
          <w:szCs w:val="24"/>
          <w:highlight w:val="yellow"/>
        </w:rPr>
        <w:t xml:space="preserve">Interpretación del contraste para la hipótesis específica 3.</w:t>
      </w:r>
    </w:p>
    <w:p>
      <w:pPr>
        <w:pStyle w:val="Heading1"/>
        <w:pageBreakBefore/>
        <w:spacing w:after="240" w:line="360"/>
        <w:jc w:val="left"/>
      </w:pPr>
      <w:r>
        <w:rPr>
          <w:rFonts w:ascii="Arial" w:cs="Arial" w:eastAsia="Arial" w:hAnsi="Arial"/>
          <w:b/>
          <w:bCs/>
          <w:sz w:val="24"/>
          <w:szCs w:val="24"/>
        </w:rPr>
        <w:t xml:space="preserve">IV. DISCUSIÓN</w:t>
      </w:r>
    </w:p>
    <w:p>
      <w:pPr>
        <w:spacing w:after="120" w:before="0" w:line="360"/>
        <w:jc w:val="both"/>
      </w:pPr>
      <w:r>
        <w:rPr>
          <w:rFonts w:ascii="Arial" w:cs="Arial" w:eastAsia="Arial" w:hAnsi="Arial"/>
          <w:sz w:val="24"/>
          <w:szCs w:val="24"/>
          <w:highlight w:val="yellow"/>
        </w:rPr>
        <w:t xml:space="preserve">Capítulo pendiente (Sesión 15). Se redactará en presente y en prosa, por objetivo: se sintetizará cada resultado, se contrastará con los antecedentes (Woodcock et al., Unlu et al., Daly et al., Kurniawan et al., Wah, Soto Asencios et al., Huapaya-Huertas et al.) y con las teorías (TAM, modelo de DeLone y McLean, comunicación en salud digital), y se explicarán las razones metodológicas de las coincidencias o diferencias, incluidas las limitaciones del diseño preexperimental y el tamaño reducido de la institución.</w:t>
      </w:r>
    </w:p>
    <w:p>
      <w:pPr>
        <w:pStyle w:val="Heading1"/>
        <w:pageBreakBefore/>
        <w:spacing w:after="240" w:line="360"/>
        <w:jc w:val="left"/>
      </w:pPr>
      <w:r>
        <w:rPr>
          <w:rFonts w:ascii="Arial" w:cs="Arial" w:eastAsia="Arial" w:hAnsi="Arial"/>
          <w:b/>
          <w:bCs/>
          <w:sz w:val="24"/>
          <w:szCs w:val="24"/>
        </w:rPr>
        <w:t xml:space="preserve">V. CONCLUSIONES</w:t>
      </w:r>
    </w:p>
    <w:p>
      <w:pPr>
        <w:spacing w:after="120" w:before="0" w:line="360"/>
        <w:jc w:val="both"/>
      </w:pPr>
      <w:r>
        <w:rPr>
          <w:rFonts w:ascii="Arial" w:cs="Arial" w:eastAsia="Arial" w:hAnsi="Arial"/>
          <w:sz w:val="24"/>
          <w:szCs w:val="24"/>
          <w:highlight w:val="yellow"/>
        </w:rPr>
        <w:t xml:space="preserve">Conclusión correspondiente al objetivo general, redactada en pasado y sustentada en los resultados.</w:t>
      </w:r>
    </w:p>
    <w:p>
      <w:pPr>
        <w:spacing w:after="120" w:before="0" w:line="360"/>
        <w:jc w:val="both"/>
      </w:pPr>
      <w:r>
        <w:rPr>
          <w:rFonts w:ascii="Arial" w:cs="Arial" w:eastAsia="Arial" w:hAnsi="Arial"/>
          <w:sz w:val="24"/>
          <w:szCs w:val="24"/>
          <w:highlight w:val="yellow"/>
        </w:rPr>
        <w:t xml:space="preserve">Conclusión correspondiente al objetivo específico 1 (tiempo promedio de registro), redactada en pasado y sustentada en los resultados.</w:t>
      </w:r>
    </w:p>
    <w:p>
      <w:pPr>
        <w:spacing w:after="120" w:before="0" w:line="360"/>
        <w:jc w:val="both"/>
      </w:pPr>
      <w:r>
        <w:rPr>
          <w:rFonts w:ascii="Arial" w:cs="Arial" w:eastAsia="Arial" w:hAnsi="Arial"/>
          <w:sz w:val="24"/>
          <w:szCs w:val="24"/>
          <w:highlight w:val="yellow"/>
        </w:rPr>
        <w:t xml:space="preserve">Conclusión correspondiente al objetivo específico 2 (tasa de ausentismo), redactada en pasado y sustentada en los resultados.</w:t>
      </w:r>
    </w:p>
    <w:p>
      <w:pPr>
        <w:spacing w:after="120" w:before="0" w:line="360"/>
        <w:jc w:val="both"/>
      </w:pPr>
      <w:r>
        <w:rPr>
          <w:rFonts w:ascii="Arial" w:cs="Arial" w:eastAsia="Arial" w:hAnsi="Arial"/>
          <w:sz w:val="24"/>
          <w:szCs w:val="24"/>
          <w:highlight w:val="yellow"/>
        </w:rPr>
        <w:t xml:space="preserve">Conclusión correspondiente al objetivo específico 3 (nivel de consultas atendidas), redactada en pasado y sustentada en los resultados.</w:t>
      </w:r>
    </w:p>
    <w:p>
      <w:pPr>
        <w:pStyle w:val="Heading1"/>
        <w:pageBreakBefore/>
        <w:spacing w:after="240" w:line="360"/>
        <w:jc w:val="left"/>
      </w:pPr>
      <w:r>
        <w:rPr>
          <w:rFonts w:ascii="Arial" w:cs="Arial" w:eastAsia="Arial" w:hAnsi="Arial"/>
          <w:b/>
          <w:bCs/>
          <w:sz w:val="24"/>
          <w:szCs w:val="24"/>
        </w:rPr>
        <w:t xml:space="preserve">VI. RECOMENDACIONES</w:t>
      </w:r>
    </w:p>
    <w:p>
      <w:pPr>
        <w:spacing w:after="120" w:before="0" w:line="360"/>
        <w:jc w:val="both"/>
      </w:pPr>
      <w:r>
        <w:rPr>
          <w:rFonts w:ascii="Arial" w:cs="Arial" w:eastAsia="Arial" w:hAnsi="Arial"/>
          <w:sz w:val="24"/>
          <w:szCs w:val="24"/>
          <w:highlight w:val="yellow"/>
        </w:rPr>
        <w:t xml:space="preserve">Capítulo pendiente (Sesión 15). Cada recomendación indicará destinatario, acción recomendada, finalidad, sustento en los resultados y mecanismo, en presente y en prosa, y guardará correspondencia con las conclusiones.</w:t>
      </w:r>
    </w:p>
    <w:p>
      <w:pPr>
        <w:pStyle w:val="Heading1"/>
        <w:pageBreakBefore/>
        <w:spacing w:after="240" w:line="360"/>
        <w:jc w:val="left"/>
      </w:pPr>
      <w:r>
        <w:rPr>
          <w:rFonts w:ascii="Arial" w:cs="Arial" w:eastAsia="Arial" w:hAnsi="Arial"/>
          <w:b/>
          <w:bCs/>
          <w:sz w:val="24"/>
          <w:szCs w:val="24"/>
        </w:rPr>
        <w:t xml:space="preserve">REFERENCIAS</w:t>
      </w:r>
    </w:p>
    <w:p>
      <w:pPr>
        <w:spacing w:after="120" w:line="360"/>
        <w:ind w:left="567" w:hanging="567"/>
        <w:jc w:val="left"/>
      </w:pPr>
      <w:r>
        <w:rPr>
          <w:rFonts w:ascii="Arial" w:cs="Arial" w:eastAsia="Arial" w:hAnsi="Arial"/>
          <w:sz w:val="24"/>
          <w:szCs w:val="24"/>
        </w:rPr>
        <w:t xml:space="preserve">[1]	</w:t>
      </w:r>
      <w:r>
        <w:rPr>
          <w:rFonts w:ascii="Arial" w:cs="Arial" w:eastAsia="Arial" w:hAnsi="Arial"/>
          <w:sz w:val="24"/>
          <w:szCs w:val="24"/>
        </w:rPr>
        <w:t xml:space="preserve">M. Taton, "Chatbots in cancer applications, advantages and disadvantages: all that glitters is not gold," Cancers, vol. 16, no. 17, p. 2994, 2024.</w:t>
      </w:r>
    </w:p>
    <w:p>
      <w:pPr>
        <w:spacing w:after="120" w:line="360"/>
        <w:ind w:left="567" w:hanging="567"/>
        <w:jc w:val="left"/>
      </w:pPr>
      <w:r>
        <w:rPr>
          <w:rFonts w:ascii="Arial" w:cs="Arial" w:eastAsia="Arial" w:hAnsi="Arial"/>
          <w:sz w:val="24"/>
          <w:szCs w:val="24"/>
        </w:rPr>
        <w:t xml:space="preserve">[2]	</w:t>
      </w:r>
      <w:r>
        <w:rPr>
          <w:rFonts w:ascii="Arial" w:cs="Arial" w:eastAsia="Arial" w:hAnsi="Arial"/>
          <w:sz w:val="24"/>
          <w:szCs w:val="24"/>
        </w:rPr>
        <w:t xml:space="preserve">T. Nadarzynski, O. Miles, A. Cowie, y D. Ridge, "Roles, users, benefits, and limitations of chatbots in health care: rapid review," J. Med. Internet Res., vol. 26, p. e56930, 2024.</w:t>
      </w:r>
    </w:p>
    <w:p>
      <w:pPr>
        <w:spacing w:after="120" w:line="360"/>
        <w:ind w:left="567" w:hanging="567"/>
        <w:jc w:val="left"/>
      </w:pPr>
      <w:r>
        <w:rPr>
          <w:rFonts w:ascii="Arial" w:cs="Arial" w:eastAsia="Arial" w:hAnsi="Arial"/>
          <w:sz w:val="24"/>
          <w:szCs w:val="24"/>
        </w:rPr>
        <w:t xml:space="preserve">[3]	</w:t>
      </w:r>
      <w:r>
        <w:rPr>
          <w:rFonts w:ascii="Arial" w:cs="Arial" w:eastAsia="Arial" w:hAnsi="Arial"/>
          <w:sz w:val="24"/>
          <w:szCs w:val="24"/>
        </w:rPr>
        <w:t xml:space="preserve">J. E. Cortés Torres, C. E. Saldaña Moreno, y N. Mendoza Moncada, "El chatbot aplicado a salud. Una revisión bibliométrica," Rev. Comun. Salud, vol. 15, pp. 1–18, 2025.</w:t>
      </w:r>
    </w:p>
    <w:p>
      <w:pPr>
        <w:spacing w:after="120" w:line="360"/>
        <w:ind w:left="567" w:hanging="567"/>
        <w:jc w:val="left"/>
      </w:pPr>
      <w:r>
        <w:rPr>
          <w:rFonts w:ascii="Arial" w:cs="Arial" w:eastAsia="Arial" w:hAnsi="Arial"/>
          <w:sz w:val="24"/>
          <w:szCs w:val="24"/>
        </w:rPr>
        <w:t xml:space="preserve">[4]	</w:t>
      </w:r>
      <w:r>
        <w:rPr>
          <w:rFonts w:ascii="Arial" w:cs="Arial" w:eastAsia="Arial" w:hAnsi="Arial"/>
          <w:sz w:val="24"/>
          <w:szCs w:val="24"/>
        </w:rPr>
        <w:t xml:space="preserve">Q. Han y C. Zhao, "Unleashing the potential of chatbots in mental health: a bibliometric analysis," Front. Psychiatry, vol. 16, p. 1494355, 2025.</w:t>
      </w:r>
    </w:p>
    <w:p>
      <w:pPr>
        <w:spacing w:after="120" w:line="360"/>
        <w:ind w:left="567" w:hanging="567"/>
        <w:jc w:val="left"/>
      </w:pPr>
      <w:r>
        <w:rPr>
          <w:rFonts w:ascii="Arial" w:cs="Arial" w:eastAsia="Arial" w:hAnsi="Arial"/>
          <w:sz w:val="24"/>
          <w:szCs w:val="24"/>
        </w:rPr>
        <w:t xml:space="preserve">[5]	</w:t>
      </w:r>
      <w:r>
        <w:rPr>
          <w:rFonts w:ascii="Arial" w:cs="Arial" w:eastAsia="Arial" w:hAnsi="Arial"/>
          <w:sz w:val="24"/>
          <w:szCs w:val="24"/>
        </w:rPr>
        <w:t xml:space="preserve">M. H. Kurniawan et al., "A systematic review of AI-powered chatbot intervention for managing chronic illness," Ann. Med., vol. 56, no. 1, p. 2302980, 2024.</w:t>
      </w:r>
    </w:p>
    <w:p>
      <w:pPr>
        <w:spacing w:after="120" w:line="360"/>
        <w:ind w:left="567" w:hanging="567"/>
        <w:jc w:val="left"/>
      </w:pPr>
      <w:r>
        <w:rPr>
          <w:rFonts w:ascii="Arial" w:cs="Arial" w:eastAsia="Arial" w:hAnsi="Arial"/>
          <w:sz w:val="24"/>
          <w:szCs w:val="24"/>
        </w:rPr>
        <w:t xml:space="preserve">[6]	</w:t>
      </w:r>
      <w:r>
        <w:rPr>
          <w:rFonts w:ascii="Arial" w:cs="Arial" w:eastAsia="Arial" w:hAnsi="Arial"/>
          <w:sz w:val="24"/>
          <w:szCs w:val="24"/>
        </w:rPr>
        <w:t xml:space="preserve">A. Wang, Z. Qian, L. Briggs, A. P. Cole, L. O. Reis, y Q. D. Trinh, "The use of chatbots in oncological care: a narrative review," Int. J. Gen. Med., vol. 16, pp. 1591–1602, 2023.</w:t>
      </w:r>
    </w:p>
    <w:p>
      <w:pPr>
        <w:spacing w:after="120" w:line="360"/>
        <w:ind w:left="567" w:hanging="567"/>
        <w:jc w:val="left"/>
      </w:pPr>
      <w:r>
        <w:rPr>
          <w:rFonts w:ascii="Arial" w:cs="Arial" w:eastAsia="Arial" w:hAnsi="Arial"/>
          <w:sz w:val="24"/>
          <w:szCs w:val="24"/>
        </w:rPr>
        <w:t xml:space="preserve">[7]	</w:t>
      </w:r>
      <w:r>
        <w:rPr>
          <w:rFonts w:ascii="Arial" w:cs="Arial" w:eastAsia="Arial" w:hAnsi="Arial"/>
          <w:sz w:val="24"/>
          <w:szCs w:val="24"/>
        </w:rPr>
        <w:t xml:space="preserve">J. N. K. Wah, "Revolutionizing e-health: the transformative role of AI-powered hybrid chatbots in healthcare solutions," Front. Public Health, vol. 13, p. 1530799, 2025.</w:t>
      </w:r>
    </w:p>
    <w:p>
      <w:pPr>
        <w:spacing w:after="120" w:line="360"/>
        <w:ind w:left="567" w:hanging="567"/>
        <w:jc w:val="left"/>
      </w:pPr>
      <w:r>
        <w:rPr>
          <w:rFonts w:ascii="Arial" w:cs="Arial" w:eastAsia="Arial" w:hAnsi="Arial"/>
          <w:sz w:val="24"/>
          <w:szCs w:val="24"/>
        </w:rPr>
        <w:t xml:space="preserve">[8]	</w:t>
      </w:r>
      <w:r>
        <w:rPr>
          <w:rFonts w:ascii="Arial" w:cs="Arial" w:eastAsia="Arial" w:hAnsi="Arial"/>
          <w:sz w:val="24"/>
          <w:szCs w:val="24"/>
        </w:rPr>
        <w:t xml:space="preserve">M. Alturbag, "Factors and reasons associated with appointment non-attendance in hospitals: a narrative review," Cureus, vol. 16, no. 4, p. e58594, 2024.</w:t>
      </w:r>
    </w:p>
    <w:p>
      <w:pPr>
        <w:spacing w:after="120" w:line="360"/>
        <w:ind w:left="567" w:hanging="567"/>
        <w:jc w:val="left"/>
      </w:pPr>
      <w:r>
        <w:rPr>
          <w:rFonts w:ascii="Arial" w:cs="Arial" w:eastAsia="Arial" w:hAnsi="Arial"/>
          <w:sz w:val="24"/>
          <w:szCs w:val="24"/>
        </w:rPr>
        <w:t xml:space="preserve">[9]	</w:t>
      </w:r>
      <w:r>
        <w:rPr>
          <w:rFonts w:ascii="Arial" w:cs="Arial" w:eastAsia="Arial" w:hAnsi="Arial"/>
          <w:sz w:val="24"/>
          <w:szCs w:val="24"/>
        </w:rPr>
        <w:t xml:space="preserve">M. J. McMullen y P. A. Netland, "Lead time for appointment and the no-show rate in an ophthalmology clinic," Clin. Ophthalmol., vol. 9, pp. 513–516, 2015.</w:t>
      </w:r>
    </w:p>
    <w:p>
      <w:pPr>
        <w:spacing w:after="120" w:line="360"/>
        <w:ind w:left="567" w:hanging="567"/>
        <w:jc w:val="left"/>
      </w:pPr>
      <w:r>
        <w:rPr>
          <w:rFonts w:ascii="Arial" w:cs="Arial" w:eastAsia="Arial" w:hAnsi="Arial"/>
          <w:sz w:val="24"/>
          <w:szCs w:val="24"/>
        </w:rPr>
        <w:t xml:space="preserve">[10]	</w:t>
      </w:r>
      <w:r>
        <w:rPr>
          <w:rFonts w:ascii="Arial" w:cs="Arial" w:eastAsia="Arial" w:hAnsi="Arial"/>
          <w:sz w:val="24"/>
          <w:szCs w:val="24"/>
        </w:rPr>
        <w:t xml:space="preserve">N. E. Soto Asencios, R. Obando Zegarra, y J. M. Arévalo-Ipanaqué, "Factores asociados al ausentismo de la cita médica, Hospital Nacional Daniel Alcides Carrión," Horiz. Med., vol. 24, no. 3, p. e2185, 2024.</w:t>
      </w:r>
    </w:p>
    <w:p>
      <w:pPr>
        <w:spacing w:after="120" w:line="360"/>
        <w:ind w:left="567" w:hanging="567"/>
        <w:jc w:val="left"/>
      </w:pPr>
      <w:r>
        <w:rPr>
          <w:rFonts w:ascii="Arial" w:cs="Arial" w:eastAsia="Arial" w:hAnsi="Arial"/>
          <w:sz w:val="24"/>
          <w:szCs w:val="24"/>
        </w:rPr>
        <w:t xml:space="preserve">[11]	</w:t>
      </w:r>
      <w:r>
        <w:rPr>
          <w:rFonts w:ascii="Arial" w:cs="Arial" w:eastAsia="Arial" w:hAnsi="Arial"/>
          <w:sz w:val="24"/>
          <w:szCs w:val="24"/>
        </w:rPr>
        <w:t xml:space="preserve">J. J. Dávila Colán, "Gestión de citas médicas vía web y calidad de atención en salud de un hospital pediátrico en Lima 2023," Tesis de pregrado, Univ. César Vallejo, Lima, Perú, 2023.</w:t>
      </w:r>
    </w:p>
    <w:p>
      <w:pPr>
        <w:spacing w:after="120" w:line="360"/>
        <w:ind w:left="567" w:hanging="567"/>
        <w:jc w:val="left"/>
      </w:pPr>
      <w:r>
        <w:rPr>
          <w:rFonts w:ascii="Arial" w:cs="Arial" w:eastAsia="Arial" w:hAnsi="Arial"/>
          <w:sz w:val="24"/>
          <w:szCs w:val="24"/>
        </w:rPr>
        <w:t xml:space="preserve">[12]	</w:t>
      </w:r>
      <w:r>
        <w:rPr>
          <w:rFonts w:ascii="Arial" w:cs="Arial" w:eastAsia="Arial" w:hAnsi="Arial"/>
          <w:sz w:val="24"/>
          <w:szCs w:val="24"/>
        </w:rPr>
        <w:t xml:space="preserve">H. M. Cuya Camacho, "Sistema web para el control de citas médicas en un establecimiento de salud 1-II de Villa el Salvador," Tesis de pregrado, Univ. César Vallejo, Lima, Perú, 2023.</w:t>
      </w:r>
    </w:p>
    <w:p>
      <w:pPr>
        <w:spacing w:after="120" w:line="360"/>
        <w:ind w:left="567" w:hanging="567"/>
        <w:jc w:val="left"/>
      </w:pPr>
      <w:r>
        <w:rPr>
          <w:rFonts w:ascii="Arial" w:cs="Arial" w:eastAsia="Arial" w:hAnsi="Arial"/>
          <w:sz w:val="24"/>
          <w:szCs w:val="24"/>
        </w:rPr>
        <w:t xml:space="preserve">[13]	</w:t>
      </w:r>
      <w:r>
        <w:rPr>
          <w:rFonts w:ascii="Arial" w:cs="Arial" w:eastAsia="Arial" w:hAnsi="Arial"/>
          <w:sz w:val="24"/>
          <w:szCs w:val="24"/>
        </w:rPr>
        <w:t xml:space="preserve">A. Bacilio Ruiz, "Evaluación del uso de un chatbot para el seguimiento en un ensayo clínico de profilaxis frente al COVID-19 en personal de salud," Tesis de pregrado, Univ. Peruana Cayetano Heredia, Lima, Perú, 2021.</w:t>
      </w:r>
    </w:p>
    <w:p>
      <w:pPr>
        <w:spacing w:after="120" w:line="360"/>
        <w:ind w:left="567" w:hanging="567"/>
        <w:jc w:val="left"/>
      </w:pPr>
      <w:r>
        <w:rPr>
          <w:rFonts w:ascii="Arial" w:cs="Arial" w:eastAsia="Arial" w:hAnsi="Arial"/>
          <w:sz w:val="24"/>
          <w:szCs w:val="24"/>
        </w:rPr>
        <w:t xml:space="preserve">[14]	</w:t>
      </w:r>
      <w:r>
        <w:rPr>
          <w:rFonts w:ascii="Arial" w:cs="Arial" w:eastAsia="Arial" w:hAnsi="Arial"/>
          <w:sz w:val="24"/>
          <w:szCs w:val="24"/>
        </w:rPr>
        <w:t xml:space="preserve">E. Woodcock, A. Sen, y J. Weiner, "Automated patient self-scheduling: case study," J. Am. Med. Inform. Assoc., vol. 29, no. 9, pp. 1637–1641, 2022.</w:t>
      </w:r>
    </w:p>
    <w:p>
      <w:pPr>
        <w:spacing w:after="120" w:line="360"/>
        <w:ind w:left="567" w:hanging="567"/>
        <w:jc w:val="left"/>
      </w:pPr>
      <w:r>
        <w:rPr>
          <w:rFonts w:ascii="Arial" w:cs="Arial" w:eastAsia="Arial" w:hAnsi="Arial"/>
          <w:sz w:val="24"/>
          <w:szCs w:val="24"/>
        </w:rPr>
        <w:t xml:space="preserve">[15]	</w:t>
      </w:r>
      <w:r>
        <w:rPr>
          <w:rFonts w:ascii="Arial" w:cs="Arial" w:eastAsia="Arial" w:hAnsi="Arial"/>
          <w:sz w:val="24"/>
          <w:szCs w:val="24"/>
        </w:rPr>
        <w:t xml:space="preserve">Universidad César Vallejo, Guía de elaboración del proyecto de investigación y tesis para la obtención del título profesional, código PP-G-02.02, versión 07, Vicerrectorado de Investigación, 2026.</w:t>
      </w:r>
    </w:p>
    <w:p>
      <w:pPr>
        <w:spacing w:after="120" w:line="360"/>
        <w:ind w:left="567" w:hanging="567"/>
        <w:jc w:val="left"/>
      </w:pPr>
      <w:r>
        <w:rPr>
          <w:rFonts w:ascii="Arial" w:cs="Arial" w:eastAsia="Arial" w:hAnsi="Arial"/>
          <w:sz w:val="24"/>
          <w:szCs w:val="24"/>
        </w:rPr>
        <w:t xml:space="preserve">[16]	</w:t>
      </w:r>
      <w:r>
        <w:rPr>
          <w:rFonts w:ascii="Arial" w:cs="Arial" w:eastAsia="Arial" w:hAnsi="Arial"/>
          <w:sz w:val="24"/>
          <w:szCs w:val="24"/>
        </w:rPr>
        <w:t xml:space="preserve">O. Unlu et al., "Implementation of a web-based chatbot to guide hospital employees in returning to work during the COVID-19 pandemic: development and before-and-after evaluation," JMIR Form. Res., vol. 8, p. e43119, 2024.</w:t>
      </w:r>
    </w:p>
    <w:p>
      <w:pPr>
        <w:spacing w:after="120" w:line="360"/>
        <w:ind w:left="567" w:hanging="567"/>
        <w:jc w:val="left"/>
      </w:pPr>
      <w:r>
        <w:rPr>
          <w:rFonts w:ascii="Arial" w:cs="Arial" w:eastAsia="Arial" w:hAnsi="Arial"/>
          <w:sz w:val="24"/>
          <w:szCs w:val="24"/>
        </w:rPr>
        <w:t xml:space="preserve">[17]	</w:t>
      </w:r>
      <w:r>
        <w:rPr>
          <w:rFonts w:ascii="Arial" w:cs="Arial" w:eastAsia="Arial" w:hAnsi="Arial"/>
          <w:sz w:val="24"/>
          <w:szCs w:val="24"/>
        </w:rPr>
        <w:t xml:space="preserve">B. Daly et al., "Digitally enabled transitional care management in oncology," JCO Oncol. Pract., vol. 20, no. 5, pp. 657–665, 2024.</w:t>
      </w:r>
    </w:p>
    <w:p>
      <w:pPr>
        <w:spacing w:after="120" w:line="360"/>
        <w:ind w:left="567" w:hanging="567"/>
        <w:jc w:val="left"/>
      </w:pPr>
      <w:r>
        <w:rPr>
          <w:rFonts w:ascii="Arial" w:cs="Arial" w:eastAsia="Arial" w:hAnsi="Arial"/>
          <w:sz w:val="24"/>
          <w:szCs w:val="24"/>
        </w:rPr>
        <w:t xml:space="preserve">[18]	</w:t>
      </w:r>
      <w:r>
        <w:rPr>
          <w:rFonts w:ascii="Arial" w:cs="Arial" w:eastAsia="Arial" w:hAnsi="Arial"/>
          <w:sz w:val="24"/>
          <w:szCs w:val="24"/>
        </w:rPr>
        <w:t xml:space="preserve">Naciones Unidas, "Transformar nuestro mundo: la Agenda 2030 para el Desarrollo Sostenible," Asamblea General, Res. A/RES/70/1, 2015.</w:t>
      </w:r>
    </w:p>
    <w:p>
      <w:pPr>
        <w:spacing w:after="120" w:line="360"/>
        <w:ind w:left="567" w:hanging="567"/>
        <w:jc w:val="left"/>
      </w:pPr>
      <w:r>
        <w:rPr>
          <w:rFonts w:ascii="Arial" w:cs="Arial" w:eastAsia="Arial" w:hAnsi="Arial"/>
          <w:sz w:val="24"/>
          <w:szCs w:val="24"/>
        </w:rPr>
        <w:t xml:space="preserve">[19]	</w:t>
      </w:r>
      <w:r>
        <w:rPr>
          <w:rFonts w:ascii="Arial" w:cs="Arial" w:eastAsia="Arial" w:hAnsi="Arial"/>
          <w:sz w:val="24"/>
          <w:szCs w:val="24"/>
        </w:rPr>
        <w:t xml:space="preserve">F. D. Davis, "Perceived usefulness, perceived ease of use, and user acceptance of information technology," MIS Q., vol. 13, no. 3, pp. 319–340, 1989.</w:t>
      </w:r>
    </w:p>
    <w:p>
      <w:pPr>
        <w:spacing w:after="120" w:line="360"/>
        <w:ind w:left="567" w:hanging="567"/>
        <w:jc w:val="left"/>
      </w:pPr>
      <w:r>
        <w:rPr>
          <w:rFonts w:ascii="Arial" w:cs="Arial" w:eastAsia="Arial" w:hAnsi="Arial"/>
          <w:sz w:val="24"/>
          <w:szCs w:val="24"/>
        </w:rPr>
        <w:t xml:space="preserve">[20]	</w:t>
      </w:r>
      <w:r>
        <w:rPr>
          <w:rFonts w:ascii="Arial" w:cs="Arial" w:eastAsia="Arial" w:hAnsi="Arial"/>
          <w:sz w:val="24"/>
          <w:szCs w:val="24"/>
        </w:rPr>
        <w:t xml:space="preserve">W. H. DeLone y E. R. McLean, "The DeLone and McLean model of information systems success: a ten-year update," J. Manage. Inf. Syst., vol. 19, no. 4, pp. 9–30, 2003.</w:t>
      </w:r>
    </w:p>
    <w:p>
      <w:pPr>
        <w:spacing w:after="120" w:line="360"/>
        <w:ind w:left="567" w:hanging="567"/>
        <w:jc w:val="left"/>
      </w:pPr>
      <w:r>
        <w:rPr>
          <w:rFonts w:ascii="Arial" w:cs="Arial" w:eastAsia="Arial" w:hAnsi="Arial"/>
          <w:sz w:val="24"/>
          <w:szCs w:val="24"/>
        </w:rPr>
        <w:t xml:space="preserve">[21]	</w:t>
      </w:r>
      <w:r>
        <w:rPr>
          <w:rFonts w:ascii="Arial" w:cs="Arial" w:eastAsia="Arial" w:hAnsi="Arial"/>
          <w:sz w:val="24"/>
          <w:szCs w:val="24"/>
        </w:rPr>
        <w:t xml:space="preserve">Y. M. AlSerkal et al., "Real-time analytics and AI for managing no-show appointments in primary health care in the United Arab Emirates: before-and-after study," JMIR Form. Res., vol. 9, p. e64936, 2025.</w:t>
      </w:r>
    </w:p>
    <w:p>
      <w:pPr>
        <w:spacing w:after="120" w:line="360"/>
        <w:ind w:left="567" w:hanging="567"/>
        <w:jc w:val="left"/>
      </w:pPr>
      <w:r>
        <w:rPr>
          <w:rFonts w:ascii="Arial" w:cs="Arial" w:eastAsia="Arial" w:hAnsi="Arial"/>
          <w:sz w:val="24"/>
          <w:szCs w:val="24"/>
        </w:rPr>
        <w:t xml:space="preserve">[22]	</w:t>
      </w:r>
      <w:r>
        <w:rPr>
          <w:rFonts w:ascii="Arial" w:cs="Arial" w:eastAsia="Arial" w:hAnsi="Arial"/>
          <w:sz w:val="24"/>
          <w:szCs w:val="24"/>
        </w:rPr>
        <w:t xml:space="preserve">X. Bai, S. Wang, Y. Zhao, M. Feng, W. Ma, y X. Liu, "Application of AI chatbot in responding to asynchronous text-based messages from patients with cancer: comparative study," J. Med. Internet Res., vol. 27, p. e67462, 2025.</w:t>
      </w:r>
    </w:p>
    <w:p>
      <w:pPr>
        <w:spacing w:after="120" w:line="360"/>
        <w:ind w:left="567" w:hanging="567"/>
        <w:jc w:val="left"/>
      </w:pPr>
      <w:r>
        <w:rPr>
          <w:rFonts w:ascii="Arial" w:cs="Arial" w:eastAsia="Arial" w:hAnsi="Arial"/>
          <w:sz w:val="24"/>
          <w:szCs w:val="24"/>
        </w:rPr>
        <w:t xml:space="preserve">[23]	</w:t>
      </w:r>
      <w:r>
        <w:rPr>
          <w:rFonts w:ascii="Arial" w:cs="Arial" w:eastAsia="Arial" w:hAnsi="Arial"/>
          <w:sz w:val="24"/>
          <w:szCs w:val="24"/>
        </w:rPr>
        <w:t xml:space="preserve">S. Nishisako, T. Higashi, y F. Wakao, "Reducing hallucinations and trade-offs in responses in generative AI chatbots for cancer information: development and evaluation study," JMIR Cancer, vol. 11, p. e70176, 2025.</w:t>
      </w:r>
    </w:p>
    <w:p>
      <w:pPr>
        <w:spacing w:after="120" w:line="360"/>
        <w:ind w:left="567" w:hanging="567"/>
        <w:jc w:val="left"/>
      </w:pPr>
      <w:r>
        <w:rPr>
          <w:rFonts w:ascii="Arial" w:cs="Arial" w:eastAsia="Arial" w:hAnsi="Arial"/>
          <w:sz w:val="24"/>
          <w:szCs w:val="24"/>
        </w:rPr>
        <w:t xml:space="preserve">[24]	</w:t>
      </w:r>
      <w:r>
        <w:rPr>
          <w:rFonts w:ascii="Arial" w:cs="Arial" w:eastAsia="Arial" w:hAnsi="Arial"/>
          <w:sz w:val="24"/>
          <w:szCs w:val="24"/>
        </w:rPr>
        <w:t xml:space="preserve">J. R. E. Neo, J. S. Ser, y S. S. Tay, "Use of large language model-based chatbots in managing the rehabilitation concerns and education needs of outpatient stroke survivors and caregivers," Front. Digit. Health, vol. 6, p. 1395501, 2024.</w:t>
      </w:r>
    </w:p>
    <w:p>
      <w:pPr>
        <w:spacing w:after="120" w:line="360"/>
        <w:ind w:left="567" w:hanging="567"/>
        <w:jc w:val="left"/>
      </w:pPr>
      <w:r>
        <w:rPr>
          <w:rFonts w:ascii="Arial" w:cs="Arial" w:eastAsia="Arial" w:hAnsi="Arial"/>
          <w:sz w:val="24"/>
          <w:szCs w:val="24"/>
        </w:rPr>
        <w:t xml:space="preserve">[25]	</w:t>
      </w:r>
      <w:r>
        <w:rPr>
          <w:rFonts w:ascii="Arial" w:cs="Arial" w:eastAsia="Arial" w:hAnsi="Arial"/>
          <w:sz w:val="24"/>
          <w:szCs w:val="24"/>
        </w:rPr>
        <w:t xml:space="preserve">A. Singh, B. Schooley, y N. Patel, "Effects of user-reported risk factors and follow-up care activities on satisfaction with a COVID-19 chatbot: cross-sectional study," JMIR mHealth uHealth, vol. 11, p. e43105, 2023.</w:t>
      </w:r>
    </w:p>
    <w:p>
      <w:pPr>
        <w:spacing w:after="120" w:line="360"/>
        <w:ind w:left="567" w:hanging="567"/>
        <w:jc w:val="left"/>
      </w:pPr>
      <w:r>
        <w:rPr>
          <w:rFonts w:ascii="Arial" w:cs="Arial" w:eastAsia="Arial" w:hAnsi="Arial"/>
          <w:sz w:val="24"/>
          <w:szCs w:val="24"/>
        </w:rPr>
        <w:t xml:space="preserve">[26]	</w:t>
      </w:r>
      <w:r>
        <w:rPr>
          <w:rFonts w:ascii="Arial" w:cs="Arial" w:eastAsia="Arial" w:hAnsi="Arial"/>
          <w:sz w:val="24"/>
          <w:szCs w:val="24"/>
        </w:rPr>
        <w:t xml:space="preserve">O. Huapaya-Huertas, J. Palomino-Rojas, C. Calle-Texeira, G. Alvarez-Huiman, y R. Montesinos-Segura, "Experiencia del Complejo Hospitalario San Pablo (Perú) en la implementación de un sistema de historias clínicas electrónicas," An. Fac. Med., vol. 82, no. 4, pp. 349–354, 2021.</w:t>
      </w:r>
    </w:p>
    <w:p>
      <w:pPr>
        <w:spacing w:after="120" w:line="360"/>
        <w:ind w:left="567" w:hanging="567"/>
        <w:jc w:val="left"/>
      </w:pPr>
      <w:r>
        <w:rPr>
          <w:rFonts w:ascii="Arial" w:cs="Arial" w:eastAsia="Arial" w:hAnsi="Arial"/>
          <w:sz w:val="24"/>
          <w:szCs w:val="24"/>
        </w:rPr>
        <w:t xml:space="preserve">[27]	</w:t>
      </w:r>
      <w:r>
        <w:rPr>
          <w:rFonts w:ascii="Arial" w:cs="Arial" w:eastAsia="Arial" w:hAnsi="Arial"/>
          <w:sz w:val="24"/>
          <w:szCs w:val="24"/>
        </w:rPr>
        <w:t xml:space="preserve">S. Cardona-Valencia y F. A. Betancur Duque, "Modelo de aceptación tecnológica (TAM): un estudio de la percepción docente sobre el uso de juegos serios en la educación superior," IEEE Rev. Iberoam. Tecnol. Aprendiz., vol. 18, no. 1, pp. 123–129, 2023.</w:t>
      </w:r>
    </w:p>
    <w:p>
      <w:pPr>
        <w:spacing w:after="120" w:line="360"/>
        <w:ind w:left="567" w:hanging="567"/>
        <w:jc w:val="left"/>
      </w:pPr>
      <w:r>
        <w:rPr>
          <w:rFonts w:ascii="Arial" w:cs="Arial" w:eastAsia="Arial" w:hAnsi="Arial"/>
          <w:sz w:val="24"/>
          <w:szCs w:val="24"/>
        </w:rPr>
        <w:t xml:space="preserve">[28]	</w:t>
      </w:r>
      <w:r>
        <w:rPr>
          <w:rFonts w:ascii="Arial" w:cs="Arial" w:eastAsia="Arial" w:hAnsi="Arial"/>
          <w:sz w:val="24"/>
          <w:szCs w:val="24"/>
        </w:rPr>
        <w:t xml:space="preserve">E. Silverte, A. Montes, y V. Figueroa, "Validation of a technology acceptance model (TAM) in Dominican university students," Educación, vol. 31, no. 60, pp. 113–136, 2022.</w:t>
      </w:r>
    </w:p>
    <w:p>
      <w:pPr>
        <w:spacing w:after="120" w:line="360"/>
        <w:ind w:left="567" w:hanging="567"/>
        <w:jc w:val="left"/>
      </w:pPr>
      <w:r>
        <w:rPr>
          <w:rFonts w:ascii="Arial" w:cs="Arial" w:eastAsia="Arial" w:hAnsi="Arial"/>
          <w:sz w:val="24"/>
          <w:szCs w:val="24"/>
        </w:rPr>
        <w:t xml:space="preserve">[29]	</w:t>
      </w:r>
      <w:r>
        <w:rPr>
          <w:rFonts w:ascii="Arial" w:cs="Arial" w:eastAsia="Arial" w:hAnsi="Arial"/>
          <w:sz w:val="24"/>
          <w:szCs w:val="24"/>
        </w:rPr>
        <w:t xml:space="preserve">A. A. AlQudah, M. Al-Emran, y K. Shaalan, "Technology acceptance in healthcare: a systematic review," Appl. Sci., vol. 11, no. 22, p. 10537, 2021.</w:t>
      </w:r>
    </w:p>
    <w:p>
      <w:pPr>
        <w:spacing w:after="120" w:line="360"/>
        <w:ind w:left="567" w:hanging="567"/>
        <w:jc w:val="left"/>
      </w:pPr>
      <w:r>
        <w:rPr>
          <w:rFonts w:ascii="Arial" w:cs="Arial" w:eastAsia="Arial" w:hAnsi="Arial"/>
          <w:sz w:val="24"/>
          <w:szCs w:val="24"/>
        </w:rPr>
        <w:t xml:space="preserve">[30]	</w:t>
      </w:r>
      <w:r>
        <w:rPr>
          <w:rFonts w:ascii="Arial" w:cs="Arial" w:eastAsia="Arial" w:hAnsi="Arial"/>
          <w:sz w:val="24"/>
          <w:szCs w:val="24"/>
        </w:rPr>
        <w:t xml:space="preserve">R. Rodríguez Mora, S. Quesada Castillo, y L. L. Arteche Hidalgo, "Gestión del sistema de información en la atención hospitalaria," Rev. Cuba. Med. Mil., vol. 53, no. 4, 2024.</w:t>
      </w:r>
    </w:p>
    <w:p>
      <w:pPr>
        <w:spacing w:after="120" w:line="360"/>
        <w:ind w:left="567" w:hanging="567"/>
        <w:jc w:val="left"/>
      </w:pPr>
      <w:r>
        <w:rPr>
          <w:rFonts w:ascii="Arial" w:cs="Arial" w:eastAsia="Arial" w:hAnsi="Arial"/>
          <w:sz w:val="24"/>
          <w:szCs w:val="24"/>
        </w:rPr>
        <w:t xml:space="preserve">[31]	</w:t>
      </w:r>
      <w:r>
        <w:rPr>
          <w:rFonts w:ascii="Arial" w:cs="Arial" w:eastAsia="Arial" w:hAnsi="Arial"/>
          <w:sz w:val="24"/>
          <w:szCs w:val="24"/>
        </w:rPr>
        <w:t xml:space="preserve">D. Castañeiro Rodríguez et al., "Módulo Consulta externa del Sistema de información hospitalaria XAVIA HIS," Rev. Cuba. Inform. Med., vol. 14, no. 2, 2022.</w:t>
      </w:r>
    </w:p>
    <w:p>
      <w:pPr>
        <w:spacing w:after="120" w:line="360"/>
        <w:ind w:left="567" w:hanging="567"/>
        <w:jc w:val="left"/>
      </w:pPr>
      <w:r>
        <w:rPr>
          <w:rFonts w:ascii="Arial" w:cs="Arial" w:eastAsia="Arial" w:hAnsi="Arial"/>
          <w:sz w:val="24"/>
          <w:szCs w:val="24"/>
        </w:rPr>
        <w:t xml:space="preserve">[32]	</w:t>
      </w:r>
      <w:r>
        <w:rPr>
          <w:rFonts w:ascii="Arial" w:cs="Arial" w:eastAsia="Arial" w:hAnsi="Arial"/>
          <w:sz w:val="24"/>
          <w:szCs w:val="24"/>
        </w:rPr>
        <w:t xml:space="preserve">J. L. Gonzalo-Iglesia y J. A. Vidal-Pérez, "La salud en la era digital," Rev. Med. Clin. Las Condes, vol. 33, no. 6, pp. 566–578, 2022.</w:t>
      </w:r>
    </w:p>
    <w:p>
      <w:pPr>
        <w:spacing w:after="120" w:line="360"/>
        <w:ind w:left="567" w:hanging="567"/>
        <w:jc w:val="left"/>
      </w:pPr>
      <w:r>
        <w:rPr>
          <w:rFonts w:ascii="Arial" w:cs="Arial" w:eastAsia="Arial" w:hAnsi="Arial"/>
          <w:sz w:val="24"/>
          <w:szCs w:val="24"/>
        </w:rPr>
        <w:t xml:space="preserve">[33]	</w:t>
      </w:r>
      <w:r>
        <w:rPr>
          <w:rFonts w:ascii="Arial" w:cs="Arial" w:eastAsia="Arial" w:hAnsi="Arial"/>
          <w:sz w:val="24"/>
          <w:szCs w:val="24"/>
        </w:rPr>
        <w:t xml:space="preserve">E. Adamopoulou y L. Moussiades, "Chatbots: history, technology, and applications," Mach. Learn. Appl., vol. 2, p. 100006, 2020.</w:t>
      </w:r>
    </w:p>
    <w:p>
      <w:pPr>
        <w:spacing w:after="120" w:line="360"/>
        <w:ind w:left="567" w:hanging="567"/>
        <w:jc w:val="left"/>
      </w:pPr>
      <w:r>
        <w:rPr>
          <w:rFonts w:ascii="Arial" w:cs="Arial" w:eastAsia="Arial" w:hAnsi="Arial"/>
          <w:sz w:val="24"/>
          <w:szCs w:val="24"/>
        </w:rPr>
        <w:t xml:space="preserve">[34]	</w:t>
      </w:r>
      <w:r>
        <w:rPr>
          <w:rFonts w:ascii="Arial" w:cs="Arial" w:eastAsia="Arial" w:hAnsi="Arial"/>
          <w:sz w:val="24"/>
          <w:szCs w:val="24"/>
        </w:rPr>
        <w:t xml:space="preserve">L. Laranjo et al., "Conversational agents in healthcare: a systematic review," J. Am. Med. Inform. Assoc., vol. 25, no. 9, pp. 1248–1258, 2018.</w:t>
      </w:r>
    </w:p>
    <w:p>
      <w:pPr>
        <w:spacing w:after="120" w:line="360"/>
        <w:ind w:left="567" w:hanging="567"/>
        <w:jc w:val="left"/>
      </w:pPr>
      <w:r>
        <w:rPr>
          <w:rFonts w:ascii="Arial" w:cs="Arial" w:eastAsia="Arial" w:hAnsi="Arial"/>
          <w:sz w:val="24"/>
          <w:szCs w:val="24"/>
        </w:rPr>
        <w:t xml:space="preserve">[35]	</w:t>
      </w:r>
      <w:r>
        <w:rPr>
          <w:rFonts w:ascii="Arial" w:cs="Arial" w:eastAsia="Arial" w:hAnsi="Arial"/>
          <w:sz w:val="24"/>
          <w:szCs w:val="24"/>
        </w:rPr>
        <w:t xml:space="preserve">A. J. Thirunavukarasu et al., "Large language models in medicine," Nat. Med., vol. 29, pp. 1930–1940, 2023.</w:t>
      </w:r>
    </w:p>
    <w:p>
      <w:pPr>
        <w:spacing w:after="120" w:line="360"/>
        <w:ind w:left="567" w:hanging="567"/>
        <w:jc w:val="left"/>
      </w:pPr>
      <w:r>
        <w:rPr>
          <w:rFonts w:ascii="Arial" w:cs="Arial" w:eastAsia="Arial" w:hAnsi="Arial"/>
          <w:sz w:val="24"/>
          <w:szCs w:val="24"/>
        </w:rPr>
        <w:t xml:space="preserve">[36]	</w:t>
      </w:r>
      <w:r>
        <w:rPr>
          <w:rFonts w:ascii="Arial" w:cs="Arial" w:eastAsia="Arial" w:hAnsi="Arial"/>
          <w:sz w:val="24"/>
          <w:szCs w:val="24"/>
        </w:rPr>
        <w:t xml:space="preserve">OECD y Eurostat, Oslo Manual 2018: Guidelines for Collecting, Reporting and Using Data on Innovation, 4.ª ed. París, Francia: OECD Publishing, 2018.</w:t>
      </w:r>
    </w:p>
    <w:p>
      <w:pPr>
        <w:spacing w:after="120" w:line="360"/>
        <w:ind w:left="567" w:hanging="567"/>
        <w:jc w:val="left"/>
      </w:pPr>
      <w:r>
        <w:rPr>
          <w:rFonts w:ascii="Arial" w:cs="Arial" w:eastAsia="Arial" w:hAnsi="Arial"/>
          <w:sz w:val="24"/>
          <w:szCs w:val="24"/>
        </w:rPr>
        <w:t xml:space="preserve">[37]	</w:t>
      </w:r>
      <w:r>
        <w:rPr>
          <w:rFonts w:ascii="Arial" w:cs="Arial" w:eastAsia="Arial" w:hAnsi="Arial"/>
          <w:sz w:val="24"/>
          <w:szCs w:val="24"/>
        </w:rPr>
        <w:t xml:space="preserve">O. Uribe Bohórquez, D. E. García Guerrero, y J. A. Gutiérrez Quiroga, "La investigación aplicada y el desarrollo experimental en el fortalecimiento de las competencias de la sociedad del siglo XXI," Tecnura, vol. 27, no. 75, 2023.</w:t>
      </w:r>
    </w:p>
    <w:p>
      <w:pPr>
        <w:spacing w:after="120" w:line="360"/>
        <w:ind w:left="567" w:hanging="567"/>
        <w:jc w:val="left"/>
      </w:pPr>
      <w:r>
        <w:rPr>
          <w:rFonts w:ascii="Arial" w:cs="Arial" w:eastAsia="Arial" w:hAnsi="Arial"/>
          <w:sz w:val="24"/>
          <w:szCs w:val="24"/>
        </w:rPr>
        <w:t xml:space="preserve">[38]	</w:t>
      </w:r>
      <w:r>
        <w:rPr>
          <w:rFonts w:ascii="Arial" w:cs="Arial" w:eastAsia="Arial" w:hAnsi="Arial"/>
          <w:sz w:val="24"/>
          <w:szCs w:val="24"/>
        </w:rPr>
        <w:t xml:space="preserve">M. Hadi, C. Martel, F. Huayta, R. Rojas, y J. Arias, Metodología de la investigación: guía para el proyecto de tesis. Lima, Perú: Instituto Universitario de Innovación Ciencia y Tecnología Inudi Perú, 2023.</w:t>
      </w:r>
    </w:p>
    <w:p>
      <w:pPr>
        <w:spacing w:after="120" w:line="360"/>
        <w:ind w:left="567" w:hanging="567"/>
        <w:jc w:val="left"/>
      </w:pPr>
      <w:r>
        <w:rPr>
          <w:rFonts w:ascii="Arial" w:cs="Arial" w:eastAsia="Arial" w:hAnsi="Arial"/>
          <w:sz w:val="24"/>
          <w:szCs w:val="24"/>
        </w:rPr>
        <w:t xml:space="preserve">[39]	</w:t>
      </w:r>
      <w:r>
        <w:rPr>
          <w:rFonts w:ascii="Arial" w:cs="Arial" w:eastAsia="Arial" w:hAnsi="Arial"/>
          <w:sz w:val="24"/>
          <w:szCs w:val="24"/>
        </w:rPr>
        <w:t xml:space="preserve">J. L. Arias Gonzales y M. Covinos Gallardo, Diseño y metodología de la investigación, 1.ª ed. Lima, Perú: Enfoques Consulting, 2021.</w:t>
      </w:r>
    </w:p>
    <w:p>
      <w:pPr>
        <w:spacing w:after="120" w:line="360"/>
        <w:ind w:left="567" w:hanging="567"/>
        <w:jc w:val="left"/>
      </w:pPr>
      <w:r>
        <w:rPr>
          <w:rFonts w:ascii="Arial" w:cs="Arial" w:eastAsia="Arial" w:hAnsi="Arial"/>
          <w:sz w:val="24"/>
          <w:szCs w:val="24"/>
        </w:rPr>
        <w:t xml:space="preserve">[40]	</w:t>
      </w:r>
      <w:r>
        <w:rPr>
          <w:rFonts w:ascii="Arial" w:cs="Arial" w:eastAsia="Arial" w:hAnsi="Arial"/>
          <w:sz w:val="24"/>
          <w:szCs w:val="24"/>
        </w:rPr>
        <w:t xml:space="preserve">J. Arias, Proyecto de tesis: guía para la elaboración, 1.ª ed. Lima, Perú: Biblioteca Nacional del Perú, 2020.</w:t>
      </w:r>
    </w:p>
    <w:p>
      <w:pPr>
        <w:spacing w:after="120" w:line="360"/>
        <w:ind w:left="567" w:hanging="567"/>
        <w:jc w:val="left"/>
      </w:pPr>
      <w:r>
        <w:rPr>
          <w:rFonts w:ascii="Arial" w:cs="Arial" w:eastAsia="Arial" w:hAnsi="Arial"/>
          <w:sz w:val="24"/>
          <w:szCs w:val="24"/>
        </w:rPr>
        <w:t xml:space="preserve">[41]	</w:t>
      </w:r>
      <w:r>
        <w:rPr>
          <w:rFonts w:ascii="Arial" w:cs="Arial" w:eastAsia="Arial" w:hAnsi="Arial"/>
          <w:sz w:val="24"/>
          <w:szCs w:val="24"/>
        </w:rPr>
        <w:t xml:space="preserve">T. Otzen y C. Manterola, "Técnicas de muestreo sobre una población a estudio," Int. J. Morphol., vol. 35, no. 1, pp. 227–232, 2017.</w:t>
      </w:r>
    </w:p>
    <w:p>
      <w:pPr>
        <w:spacing w:after="120" w:line="360"/>
        <w:ind w:left="567" w:hanging="567"/>
        <w:jc w:val="left"/>
      </w:pPr>
      <w:r>
        <w:rPr>
          <w:rFonts w:ascii="Arial" w:cs="Arial" w:eastAsia="Arial" w:hAnsi="Arial"/>
          <w:sz w:val="24"/>
          <w:szCs w:val="24"/>
        </w:rPr>
        <w:t xml:space="preserve">[42]	</w:t>
      </w:r>
      <w:r>
        <w:rPr>
          <w:rFonts w:ascii="Arial" w:cs="Arial" w:eastAsia="Arial" w:hAnsi="Arial"/>
          <w:sz w:val="24"/>
          <w:szCs w:val="24"/>
        </w:rPr>
        <w:t xml:space="preserve">J. Escobar-Pérez y Á. Cuervo-Martínez, "Validez de contenido y juicio de expertos: una aproximación a su utilización," Av. Medición, vol. 6, pp. 27–36, 2008.</w:t>
      </w:r>
    </w:p>
    <w:p>
      <w:pPr>
        <w:spacing w:after="120" w:line="360"/>
        <w:ind w:left="567" w:hanging="567"/>
        <w:jc w:val="left"/>
      </w:pPr>
      <w:r>
        <w:rPr>
          <w:rFonts w:ascii="Arial" w:cs="Arial" w:eastAsia="Arial" w:hAnsi="Arial"/>
          <w:sz w:val="24"/>
          <w:szCs w:val="24"/>
        </w:rPr>
        <w:t xml:space="preserve">[43]	</w:t>
      </w:r>
      <w:r>
        <w:rPr>
          <w:rFonts w:ascii="Arial" w:cs="Arial" w:eastAsia="Arial" w:hAnsi="Arial"/>
          <w:sz w:val="24"/>
          <w:szCs w:val="24"/>
        </w:rPr>
        <w:t xml:space="preserve">Congreso de la República del Perú, Ley N.° 29733, Ley de Protección de Datos Personales. Lima, Perú: Diario Oficial El Peruano, 2011.</w:t>
      </w:r>
    </w:p>
    <w:p>
      <w:pPr>
        <w:sectPr>
          <w:footerReference w:type="default" r:id="rId9"/>
          <w:pgSz w:w="11906" w:h="16838" w:orient="portrait"/>
          <w:pgMar w:top="1440" w:right="1440" w:bottom="1440" w:left="1440" w:header="708" w:footer="708" w:gutter="0"/>
          <w:pgNumType w:start="1" w:fmt="decimal"/>
          <w:docGrid w:linePitch="360"/>
        </w:sectPr>
      </w:pPr>
    </w:p>
    <w:p>
      <w:pPr>
        <w:pStyle w:val="Heading1"/>
        <w:spacing w:after="240" w:line="360"/>
        <w:jc w:val="center"/>
      </w:pPr>
      <w:r>
        <w:rPr>
          <w:rFonts w:ascii="Arial" w:cs="Arial" w:eastAsia="Arial" w:hAnsi="Arial"/>
          <w:b/>
          <w:bCs/>
          <w:sz w:val="24"/>
          <w:szCs w:val="24"/>
        </w:rPr>
        <w:t xml:space="preserve">ANEXOS</w:t>
      </w:r>
    </w:p>
    <w:p>
      <w:pPr>
        <w:pStyle w:val="Heading2"/>
        <w:spacing w:after="160" w:before="120" w:line="360"/>
      </w:pPr>
      <w:r>
        <w:rPr>
          <w:rFonts w:ascii="Arial" w:cs="Arial" w:eastAsia="Arial" w:hAnsi="Arial"/>
          <w:b/>
          <w:bCs/>
          <w:sz w:val="24"/>
          <w:szCs w:val="24"/>
        </w:rPr>
        <w:t xml:space="preserve">Anexo 1. Tabla de operacionalización de variables</w:t>
      </w:r>
    </w:p>
    <w:p>
      <w:pPr>
        <w:keepNext/>
        <w:spacing w:after="60" w:before="200" w:line="360"/>
      </w:pPr>
      <w:r>
        <w:rPr>
          <w:rFonts w:ascii="Arial" w:cs="Arial" w:eastAsia="Arial" w:hAnsi="Arial"/>
          <w:b/>
          <w:bCs/>
          <w:sz w:val="24"/>
          <w:szCs w:val="24"/>
        </w:rPr>
        <w:t xml:space="preserve">Tabla A1</w:t>
      </w:r>
      <w:r>
        <w:rPr>
          <w:rFonts w:ascii="Arial" w:cs="Arial" w:eastAsia="Arial" w:hAnsi="Arial"/>
          <w:i/>
          <w:iCs/>
          <w:sz w:val="24"/>
          <w:szCs w:val="24"/>
        </w:rPr>
        <w:br/>
        <w:t xml:space="preserve">Operacionalización de las variables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3000"/>
        <w:gridCol w:w="2000"/>
        <w:gridCol w:w="3100"/>
        <w:gridCol w:w="1158"/>
      </w:tblGrid>
      <w:tr>
        <w:trPr>
          <w:tblHeader/>
        </w:trPr>
        <w:tc>
          <w:tcPr>
            <w:tcW w:type="dxa" w:w="17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Variables de estudio</w:t>
            </w:r>
          </w:p>
        </w:tc>
        <w:tc>
          <w:tcPr>
            <w:tcW w:type="dxa" w:w="3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Definición conceptual</w:t>
            </w:r>
          </w:p>
        </w:tc>
        <w:tc>
          <w:tcPr>
            <w:tcW w:type="dxa" w:w="3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Definición operacional</w:t>
            </w:r>
          </w:p>
        </w:tc>
        <w:tc>
          <w:tcPr>
            <w:tcW w:type="dxa" w:w="2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Dimensiones</w:t>
            </w:r>
          </w:p>
        </w:tc>
        <w:tc>
          <w:tcPr>
            <w:tcW w:type="dxa" w:w="31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Indicadores</w:t>
            </w:r>
          </w:p>
        </w:tc>
        <w:tc>
          <w:tcPr>
            <w:tcW w:type="dxa" w:w="115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Escala de medición</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VI: Sistema web con chatbot</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Plataforma digital accesible desde un navegador que incorpora un agente conversacional capaz de interactuar con los usuarios en tiempo real mediante texto [33], [35].</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Verificación de la implementación y el funcionamiento de los tres módulos del sistema mediante una ficha de verificación.</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Módulo de registro de pacientes</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Implementación del módulo de registro</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Nominal (implementado / no implementado)</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Módulo de agendamiento y recordatorios</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Implementación del módulo de agendamiento y envío de recordatorios</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Nominal (implementado / no implementado)</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Módulo de chatbot conversacional</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Implementación del módulo de atención de consultas</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Nominal (implementado / no implementado)</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VD: Gestión de pacientes</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Conjunto de procesos mediante los cuales una institución de salud registra, organiza, consulta y administra la información clínica y administrativa generada por la atención de sus pacientes [30], [32].</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Medición de tres indicadores calculados sobre eventos reales (registros, citas y consultas) en 13 sesiones pretest y 13 postest, con la ficha de registro de tiempos y la ficha de registro de gestión de pacientes.</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Registro de pacientes</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Tiempo promedio de registro (TPR)</w:t>
            </w:r>
          </w:p>
          <w:p>
            <w:pPr>
              <w:spacing w:after="20"/>
              <w:jc w:val="left"/>
            </w:pPr>
            <w:r>
              <w:rPr>
                <w:rFonts w:ascii="Arial" w:cs="Arial" w:eastAsia="Arial" w:hAnsi="Arial"/>
                <w:b w:val="false"/>
                <w:bCs w:val="false"/>
                <w:sz w:val="17"/>
                <w:szCs w:val="17"/>
              </w:rPr>
              <w:t xml:space="preserve">TPR = Σ tiempo de cada registro / N.° de registros (min)</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Razón</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Agendamiento de citas médicas</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Tasa de ausentismo (TA)</w:t>
            </w:r>
          </w:p>
          <w:p>
            <w:pPr>
              <w:spacing w:after="20"/>
              <w:jc w:val="left"/>
            </w:pPr>
            <w:r>
              <w:rPr>
                <w:rFonts w:ascii="Arial" w:cs="Arial" w:eastAsia="Arial" w:hAnsi="Arial"/>
                <w:b w:val="false"/>
                <w:bCs w:val="false"/>
                <w:sz w:val="17"/>
                <w:szCs w:val="17"/>
              </w:rPr>
              <w:t xml:space="preserve">TA = (citas no asistidas sin aviso / citas programadas elegibles) × 100</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Razón</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Eficacia de la atención</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Nivel de consultas atendidas (NCA)</w:t>
            </w:r>
          </w:p>
          <w:p>
            <w:pPr>
              <w:spacing w:after="20"/>
              <w:jc w:val="left"/>
            </w:pPr>
            <w:r>
              <w:rPr>
                <w:rFonts w:ascii="Arial" w:cs="Arial" w:eastAsia="Arial" w:hAnsi="Arial"/>
                <w:b w:val="false"/>
                <w:bCs w:val="false"/>
                <w:sz w:val="17"/>
                <w:szCs w:val="17"/>
              </w:rPr>
              <w:t xml:space="preserve">NCA = (consultas resueltas en el primer contacto sin derivación / consultas recibidas) × 100</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Razón</w:t>
            </w:r>
          </w:p>
        </w:tc>
      </w:tr>
    </w:tbl>
    <w:p>
      <w:pPr>
        <w:spacing w:after="120" w:before="0" w:line="240"/>
        <w:jc w:val="both"/>
      </w:pPr>
      <w:r>
        <w:rPr>
          <w:rFonts w:ascii="Arial" w:cs="Arial" w:eastAsia="Arial" w:hAnsi="Arial"/>
          <w:sz w:val="20"/>
          <w:szCs w:val="20"/>
        </w:rPr>
        <w:t xml:space="preserve">Fuente: elaboración propia.</w:t>
      </w:r>
    </w:p>
    <w:p>
      <w:pPr>
        <w:sectPr>
          <w:footerReference w:type="default" r:id="rId10"/>
          <w:pgSz w:w="16838" w:h="11906" w:orient="landscape"/>
          <w:pgMar w:top="1440" w:right="1440" w:bottom="1440" w:left="1440" w:header="708" w:footer="708" w:gutter="0"/>
          <w:pgNumType/>
          <w:docGrid w:linePitch="360"/>
        </w:sectPr>
      </w:pPr>
    </w:p>
    <w:p>
      <w:pPr>
        <w:pStyle w:val="Heading2"/>
        <w:pageBreakBefore/>
        <w:spacing w:after="160" w:before="120" w:line="360"/>
      </w:pPr>
      <w:r>
        <w:rPr>
          <w:rFonts w:ascii="Arial" w:cs="Arial" w:eastAsia="Arial" w:hAnsi="Arial"/>
          <w:b/>
          <w:bCs/>
          <w:sz w:val="24"/>
          <w:szCs w:val="24"/>
        </w:rPr>
        <w:t xml:space="preserve">Anexo 2. Instrumentos de recolección de datos</w:t>
      </w:r>
    </w:p>
    <w:p>
      <w:pPr>
        <w:spacing w:after="120" w:before="0" w:line="360"/>
        <w:jc w:val="both"/>
      </w:pPr>
      <w:r>
        <w:rPr>
          <w:rFonts w:ascii="Arial" w:cs="Arial" w:eastAsia="Arial" w:hAnsi="Arial"/>
          <w:sz w:val="24"/>
          <w:szCs w:val="24"/>
        </w:rPr>
        <w:t xml:space="preserve">Ambos instrumentos se aplicaron en formato digital mediante el archivo Instrumento_v4_PRE_POST.xlsx, que contiene listas desplegables, validación de datos y el cálculo automático de los indicadores por sesión. A continuación se presenta su estructura.</w:t>
      </w:r>
    </w:p>
    <w:p>
      <w:pPr>
        <w:spacing w:after="120" w:before="0" w:line="360"/>
        <w:jc w:val="both"/>
      </w:pPr>
      <w:r>
        <w:rPr>
          <w:rFonts w:ascii="Arial" w:cs="Arial" w:eastAsia="Arial" w:hAnsi="Arial"/>
          <w:b/>
          <w:bCs/>
          <w:sz w:val="24"/>
          <w:szCs w:val="24"/>
        </w:rPr>
        <w:t xml:space="preserve">Instrumento 1. Ficha de registro de tiempos (indicador TPR)</w:t>
      </w:r>
    </w:p>
    <w:p>
      <w:pPr>
        <w:spacing w:after="120" w:before="0" w:line="360"/>
        <w:jc w:val="both"/>
      </w:pPr>
      <w:r>
        <w:rPr>
          <w:rFonts w:ascii="Arial" w:cs="Arial" w:eastAsia="Arial" w:hAnsi="Arial"/>
          <w:sz w:val="22"/>
          <w:szCs w:val="22"/>
        </w:rPr>
        <w:t xml:space="preserve">Título de la investigación: Sistema web con chatbot para la gestión de pacientes en una fundación oncológica privada de Lima, 2026. Etapa: ( ) Pretest ( ) Postest. Instrucción: registre una fila por cada proceso de registro de paciente efectivamente realizado en la sesión. El inicio corresponde al momento en que el personal empieza a ingresar los datos del paciente y el fin, al momento en que estos quedan almacenados correctamente.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92"/>
      </w:tblGrid>
      <w:tr>
        <w:trPr>
          <w:tblHeader/>
        </w:trPr>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 de sesión</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Código del paciente</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Hora de inicio</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Hora de fin</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Tiempo (min)</w:t>
            </w:r>
          </w:p>
        </w:tc>
        <w:tc>
          <w:tcPr>
            <w:tcW w:type="dxa" w:w="129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Modalidad</w:t>
            </w:r>
          </w:p>
        </w:tc>
      </w:tr>
      <w:tr>
        <w:trPr>
          <w:cantSplit/>
        </w:trPr>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w:t>
            </w: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9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Manual / Sistema</w:t>
            </w:r>
          </w:p>
        </w:tc>
      </w:tr>
      <w:tr>
        <w:trPr>
          <w:cantSplit/>
        </w:trPr>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2</w:t>
            </w: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9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w:t>
            </w: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9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0"/>
      </w:pPr>
    </w:p>
    <w:p>
      <w:pPr>
        <w:spacing w:after="120" w:before="200" w:line="360"/>
        <w:jc w:val="both"/>
      </w:pPr>
      <w:r>
        <w:rPr>
          <w:rFonts w:ascii="Arial" w:cs="Arial" w:eastAsia="Arial" w:hAnsi="Arial"/>
          <w:b/>
          <w:bCs/>
          <w:sz w:val="24"/>
          <w:szCs w:val="24"/>
        </w:rPr>
        <w:t xml:space="preserve">Instrumento 2. Ficha de registro de gestión de pacientes (indicadores TA y NCA)</w:t>
      </w:r>
    </w:p>
    <w:p>
      <w:pPr>
        <w:spacing w:after="120" w:before="0" w:line="360"/>
        <w:jc w:val="both"/>
      </w:pPr>
      <w:r>
        <w:rPr>
          <w:rFonts w:ascii="Arial" w:cs="Arial" w:eastAsia="Arial" w:hAnsi="Arial"/>
          <w:sz w:val="22"/>
          <w:szCs w:val="22"/>
        </w:rPr>
        <w:t xml:space="preserve">Sección A, citas médicas. Instrucción: registre cada cita programada para la fecha de la sesión. Las citas canceladas o reprogramadas con aviso previo se registran como tales y no se consideran inasistencias.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 de sesión</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Código del paciente</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Estado de la cita</w:t>
            </w:r>
          </w:p>
        </w:tc>
        <w:tc>
          <w:tcPr>
            <w:tcW w:type="dxa" w:w="180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Recordatorio enviado</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Asistió / No asistió / Cancelada / Reprogramada</w:t>
            </w: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Sí / No</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0"/>
      </w:pPr>
    </w:p>
    <w:p>
      <w:pPr>
        <w:spacing w:after="120" w:before="200" w:line="360"/>
        <w:jc w:val="both"/>
      </w:pPr>
      <w:r>
        <w:rPr>
          <w:rFonts w:ascii="Arial" w:cs="Arial" w:eastAsia="Arial" w:hAnsi="Arial"/>
          <w:sz w:val="22"/>
          <w:szCs w:val="22"/>
        </w:rPr>
        <w:t xml:space="preserve">Sección B, consultas administrativas. Instrucción: registre cada consulta recibida en la sesión. Se considera resuelta si el paciente obtuvo la información solicitada en el primer contacto, sin ser derivado a otra persona o área y sin necesidad de volver a comunicarse por el mismo motivo.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1128"/>
        <w:gridCol w:w="1128"/>
        <w:gridCol w:w="1128"/>
        <w:gridCol w:w="1128"/>
        <w:gridCol w:w="1128"/>
        <w:gridCol w:w="1128"/>
        <w:gridCol w:w="1130"/>
      </w:tblGrid>
      <w:tr>
        <w:trPr>
          <w:tblHeader/>
        </w:trPr>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 de sesión</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Código del paciente</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Categoría</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Canal</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Resuelta en el primer contacto</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Derivada a otra persona o área</w:t>
            </w:r>
          </w:p>
        </w:tc>
        <w:tc>
          <w:tcPr>
            <w:tcW w:type="dxa" w:w="113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Tiempo de respuesta (min)</w:t>
            </w:r>
          </w:p>
        </w:tc>
      </w:tr>
      <w:tr>
        <w:trPr>
          <w:cantSplit/>
        </w:trPr>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w:t>
            </w: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Citas / Horarios / Información institucional / Requisitos / Ubicación / Seguimiento administrativo / Otro</w:t>
            </w: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Presencial / Telefónico / WhatsApp institucional / Chatbot</w:t>
            </w: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Sí / No</w:t>
            </w: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Sí / No</w:t>
            </w:r>
          </w:p>
        </w:tc>
        <w:tc>
          <w:tcPr>
            <w:tcW w:type="dxa" w:w="113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w:t>
            </w: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3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0"/>
      </w:pPr>
    </w:p>
    <w:p>
      <w:pPr>
        <w:spacing w:after="120" w:before="200" w:line="360"/>
        <w:jc w:val="both"/>
      </w:pPr>
      <w:r>
        <w:rPr>
          <w:rFonts w:ascii="Arial" w:cs="Arial" w:eastAsia="Arial" w:hAnsi="Arial"/>
          <w:b/>
          <w:bCs/>
          <w:sz w:val="24"/>
          <w:szCs w:val="24"/>
        </w:rPr>
        <w:t xml:space="preserve">Instrumento 3. Ficha de verificación de implementación (variable independiente)</w:t>
      </w:r>
    </w:p>
    <w:p>
      <w:pPr>
        <w:spacing w:after="120" w:before="0" w:line="360"/>
        <w:jc w:val="both"/>
      </w:pPr>
      <w:r>
        <w:rPr>
          <w:rFonts w:ascii="Arial" w:cs="Arial" w:eastAsia="Arial" w:hAnsi="Arial"/>
          <w:sz w:val="22"/>
          <w:szCs w:val="22"/>
        </w:rPr>
        <w:t xml:space="preserve">Instrucción: antes de iniciar el postest, verifique cada funcionalidad del sistema y registre la fecha, el resultado y la evidencia (captura de pantalla o registro del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1000"/>
        <w:gridCol w:w="1400"/>
        <w:gridCol w:w="1226"/>
      </w:tblGrid>
      <w:tr>
        <w:trPr>
          <w:tblHeader/>
        </w:trPr>
        <w:tc>
          <w:tcPr>
            <w:tcW w:type="dxa" w:w="2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Módulo (dimensión)</w:t>
            </w:r>
          </w:p>
        </w:tc>
        <w:tc>
          <w:tcPr>
            <w:tcW w:type="dxa" w:w="3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Funcionalidad verificada</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w:t>
            </w:r>
          </w:p>
        </w:tc>
        <w:tc>
          <w:tcPr>
            <w:tcW w:type="dxa" w:w="1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Resultado</w:t>
            </w:r>
          </w:p>
        </w:tc>
        <w:tc>
          <w:tcPr>
            <w:tcW w:type="dxa" w:w="12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Evidencia</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Registro de pacientes</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Alta de un paciente nuevo con validación de campos obligatorios</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Implementado / No implementado</w:t>
            </w:r>
          </w:p>
        </w:tc>
        <w:tc>
          <w:tcPr>
            <w:tcW w:type="dxa" w:w="1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Registro de pacientes</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Almacenamiento del registro con marca de tiempo de inicio y fin</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Agendamiento y recordatorios</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Creación de una cita con fecha, hora y servicio</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Agendamiento y recordatorios</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Envío automático del recordatorio al paciente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Agendamiento y recordatorios</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Registro de cancelación o reprogramación con aviso previo</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Chatbot conversacional</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Respuesta a una consulta de cada categoría</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Chatbot conversacional</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Derivación al personal cuando la consulta no puede resolverse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Chatbot conversacional</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Registro de cada consulta con su categoría, resolución y derivación</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pStyle w:val="Heading2"/>
        <w:pageBreakBefore/>
        <w:spacing w:after="160" w:before="120" w:line="360"/>
      </w:pPr>
      <w:r>
        <w:rPr>
          <w:rFonts w:ascii="Arial" w:cs="Arial" w:eastAsia="Arial" w:hAnsi="Arial"/>
          <w:b/>
          <w:bCs/>
          <w:sz w:val="24"/>
          <w:szCs w:val="24"/>
        </w:rPr>
        <w:t xml:space="preserve">Anexo 3. Ficha de validación de contenido de los instrumentos</w:t>
      </w:r>
    </w:p>
    <w:p>
      <w:pPr>
        <w:spacing w:after="120" w:before="0" w:line="360"/>
        <w:jc w:val="both"/>
      </w:pPr>
      <w:r>
        <w:rPr>
          <w:rFonts w:ascii="Arial" w:cs="Arial" w:eastAsia="Arial" w:hAnsi="Arial"/>
          <w:sz w:val="22"/>
          <w:szCs w:val="22"/>
        </w:rPr>
        <w:t xml:space="preserve">Instrucción: se solicita al experto evaluar cada campo de los instrumentos de la investigación "Sistema web con chatbot para la gestión de pacientes en una fundación oncológica privada de Lima, 2026" según los criterios siguientes y, de ser el caso, formular las sugerencias pertinentes.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226"/>
      </w:tblGrid>
      <w:tr>
        <w:trPr>
          <w:tblHeader/>
        </w:trPr>
        <w:tc>
          <w:tcPr>
            <w:tcW w:type="dxa" w:w="18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Criterio</w:t>
            </w:r>
          </w:p>
        </w:tc>
        <w:tc>
          <w:tcPr>
            <w:tcW w:type="dxa" w:w="5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Detalle</w:t>
            </w:r>
          </w:p>
        </w:tc>
        <w:tc>
          <w:tcPr>
            <w:tcW w:type="dxa" w:w="22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Calificación</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Suficiencia</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El campo pertenece al indicador y basta para obtener su medición.</w:t>
            </w:r>
          </w:p>
        </w:tc>
        <w:tc>
          <w:tcPr>
            <w:tcW w:type="dxa" w:w="2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 de acuerdo / 0: en desacuerdo</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Claridad</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El campo se comprende fácilmente; su redacción es adecuada.</w:t>
            </w:r>
          </w:p>
        </w:tc>
        <w:tc>
          <w:tcPr>
            <w:tcW w:type="dxa" w:w="2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 de acuerdo / 0: en desacuerdo</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Coherencia</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El campo tiene relación lógica con el indicador que mide.</w:t>
            </w:r>
          </w:p>
        </w:tc>
        <w:tc>
          <w:tcPr>
            <w:tcW w:type="dxa" w:w="2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 de acuerdo / 0: en desacuerdo</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Relevancia</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El campo es esencial y debe incluirse.</w:t>
            </w:r>
          </w:p>
        </w:tc>
        <w:tc>
          <w:tcPr>
            <w:tcW w:type="dxa" w:w="2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 de acuerdo / 0: en desacuerdo</w:t>
            </w:r>
          </w:p>
        </w:tc>
      </w:tr>
    </w:tbl>
    <w:p>
      <w:pPr>
        <w:spacing w:after="200" w:before="0" w:line="240"/>
        <w:jc w:val="both"/>
      </w:pPr>
      <w:r>
        <w:rPr>
          <w:rFonts w:ascii="Arial" w:cs="Arial" w:eastAsia="Arial" w:hAnsi="Arial"/>
          <w:sz w:val="20"/>
          <w:szCs w:val="20"/>
        </w:rPr>
        <w:t xml:space="preserve">Nota. Criterios adaptados de la propuesta de Escobar-Pérez y Cuervo-Martínez [42].</w:t>
      </w:r>
    </w:p>
    <w:p>
      <w:pPr>
        <w:spacing w:after="120" w:before="0" w:line="360"/>
        <w:jc w:val="both"/>
      </w:pPr>
      <w:r>
        <w:rPr>
          <w:rFonts w:ascii="Arial" w:cs="Arial" w:eastAsia="Arial" w:hAnsi="Arial"/>
          <w:b/>
          <w:bCs/>
          <w:sz w:val="24"/>
          <w:szCs w:val="24"/>
        </w:rPr>
        <w:t xml:space="preserve">Matriz de validación de los instrumentos</w:t>
      </w:r>
    </w:p>
    <w:p>
      <w:pPr>
        <w:spacing w:after="120" w:before="0" w:line="360"/>
        <w:jc w:val="both"/>
      </w:pPr>
      <w:r>
        <w:rPr>
          <w:rFonts w:ascii="Arial" w:cs="Arial" w:eastAsia="Arial" w:hAnsi="Arial"/>
          <w:sz w:val="22"/>
          <w:szCs w:val="22"/>
        </w:rPr>
        <w:t xml:space="preserve">Definición de la variable: gestión de pacientes, entendida como el conjunto de procesos mediante los cuales una institución de salud registra, organiza, consulta y administra la información de la atención de sus pacientes.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2600"/>
        <w:gridCol w:w="600"/>
        <w:gridCol w:w="600"/>
        <w:gridCol w:w="600"/>
        <w:gridCol w:w="600"/>
        <w:gridCol w:w="1126"/>
      </w:tblGrid>
      <w:tr>
        <w:trPr>
          <w:tblHeader/>
        </w:trPr>
        <w:tc>
          <w:tcPr>
            <w:tcW w:type="dxa" w:w="2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Dimensión</w:t>
            </w:r>
          </w:p>
        </w:tc>
        <w:tc>
          <w:tcPr>
            <w:tcW w:type="dxa" w:w="9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Indicador</w:t>
            </w:r>
          </w:p>
        </w:tc>
        <w:tc>
          <w:tcPr>
            <w:tcW w:type="dxa" w:w="2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Campo del instrumento</w:t>
            </w:r>
          </w:p>
        </w:tc>
        <w:tc>
          <w:tcPr>
            <w:tcW w:type="dxa" w:w="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Suf.</w:t>
            </w:r>
          </w:p>
        </w:tc>
        <w:tc>
          <w:tcPr>
            <w:tcW w:type="dxa" w:w="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Cla.</w:t>
            </w:r>
          </w:p>
        </w:tc>
        <w:tc>
          <w:tcPr>
            <w:tcW w:type="dxa" w:w="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Coh.</w:t>
            </w:r>
          </w:p>
        </w:tc>
        <w:tc>
          <w:tcPr>
            <w:tcW w:type="dxa" w:w="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Rel.</w:t>
            </w:r>
          </w:p>
        </w:tc>
        <w:tc>
          <w:tcPr>
            <w:tcW w:type="dxa" w:w="11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Observación</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Registro de pacientes</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TPR</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Fecha de sesión</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Código del paciente</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Hora de inicio del registro</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Hora de fin del registro</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Modalidad (manual / sistema)</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Agendamiento de citas médicas</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TA</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Estado de la cita</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Recordatorio enviado</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Eficacia de la atención</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NCA</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Categoría de la consulta</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Canal de atención</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Resuelta en el primer contacto</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Derivada</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Tiempo de respuesta</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0"/>
      </w:pPr>
    </w:p>
    <w:p>
      <w:pPr>
        <w:spacing w:after="120" w:before="200" w:line="360"/>
        <w:jc w:val="both"/>
      </w:pPr>
      <w:r>
        <w:rPr>
          <w:rFonts w:ascii="Arial" w:cs="Arial" w:eastAsia="Arial" w:hAnsi="Arial"/>
          <w:b/>
          <w:bCs/>
          <w:sz w:val="24"/>
          <w:szCs w:val="24"/>
        </w:rPr>
        <w:t xml:space="preserve">Ficha de validación de juicio de experto</w:t>
      </w:r>
      <w:r>
        <w:rPr>
          <w:rFonts w:ascii="Arial" w:cs="Arial" w:eastAsia="Arial" w:hAnsi="Arial"/>
          <w:sz w:val="24"/>
          <w:szCs w:val="24"/>
        </w:rPr>
        <w:t xml:space="preserve"> (una por cada uno de los tres jueces)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Dato</w:t>
            </w:r>
          </w:p>
        </w:tc>
        <w:tc>
          <w:tcPr>
            <w:tcW w:type="dxa" w:w="54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Registro</w:t>
            </w: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Nombre del instrumento</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Nombres y apellidos del experto</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Documento de identidad</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Años de experiencia laboral</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Máximo grado académico</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Nacionalidad</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Institución laboral</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Labor que desempeña</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Número telefónico</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Correo electrónico</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Firma</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Fecha</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DD / MM / AAAA</w:t>
            </w:r>
          </w:p>
        </w:tc>
      </w:tr>
    </w:tbl>
    <w:p>
      <w:pPr>
        <w:spacing w:after="120" w:before="120" w:line="360"/>
        <w:jc w:val="both"/>
      </w:pPr>
      <w:r>
        <w:rPr>
          <w:rFonts w:ascii="Arial" w:cs="Arial" w:eastAsia="Arial" w:hAnsi="Arial"/>
          <w:sz w:val="24"/>
          <w:szCs w:val="24"/>
          <w:highlight w:val="yellow"/>
        </w:rPr>
        <w:t xml:space="preserve">Adjuntar la captura del Registro Nacional de Grados Académicos y Títulos Profesionales (SUNEDU) de cada experto.</w:t>
      </w:r>
    </w:p>
    <w:p>
      <w:pPr>
        <w:pStyle w:val="Heading2"/>
        <w:pageBreakBefore/>
        <w:spacing w:after="160" w:before="120" w:line="360"/>
      </w:pPr>
      <w:r>
        <w:rPr>
          <w:rFonts w:ascii="Arial" w:cs="Arial" w:eastAsia="Arial" w:hAnsi="Arial"/>
          <w:b/>
          <w:bCs/>
          <w:sz w:val="24"/>
          <w:szCs w:val="24"/>
        </w:rPr>
        <w:t xml:space="preserve">Anexo 4. Consentimiento informado</w:t>
      </w:r>
    </w:p>
    <w:p>
      <w:pPr>
        <w:spacing w:after="120" w:before="0" w:line="360"/>
        <w:jc w:val="both"/>
      </w:pPr>
      <w:r>
        <w:rPr>
          <w:rFonts w:ascii="Arial" w:cs="Arial" w:eastAsia="Arial" w:hAnsi="Arial"/>
          <w:sz w:val="24"/>
          <w:szCs w:val="24"/>
        </w:rPr>
        <w:t xml:space="preserve">Título de la investigación: Sistema web con chatbot para la gestión de pacientes en una fundación oncológica privada de Lima, 2026.</w:t>
      </w:r>
    </w:p>
    <w:p>
      <w:pPr>
        <w:spacing w:after="120" w:before="0" w:line="360"/>
        <w:jc w:val="both"/>
      </w:pPr>
      <w:r>
        <w:rPr>
          <w:rFonts w:ascii="Arial" w:cs="Arial" w:eastAsia="Arial" w:hAnsi="Arial"/>
          <w:sz w:val="24"/>
          <w:szCs w:val="24"/>
        </w:rPr>
        <w:t xml:space="preserve">Investigadores: Jasmin Arnao Fretel y Eros Matias Davila Anchante.</w:t>
      </w:r>
    </w:p>
    <w:p>
      <w:pPr>
        <w:spacing w:after="120" w:before="0" w:line="360"/>
        <w:jc w:val="both"/>
      </w:pPr>
      <w:r>
        <w:rPr>
          <w:rFonts w:ascii="Arial" w:cs="Arial" w:eastAsia="Arial" w:hAnsi="Arial"/>
          <w:b/>
          <w:bCs/>
          <w:sz w:val="24"/>
          <w:szCs w:val="24"/>
        </w:rPr>
        <w:t xml:space="preserve">Propósito del estudio</w:t>
      </w:r>
    </w:p>
    <w:p>
      <w:pPr>
        <w:spacing w:after="120" w:before="0" w:line="360"/>
        <w:jc w:val="both"/>
      </w:pPr>
      <w:r>
        <w:rPr>
          <w:rFonts w:ascii="Arial" w:cs="Arial" w:eastAsia="Arial" w:hAnsi="Arial"/>
          <w:sz w:val="24"/>
          <w:szCs w:val="24"/>
        </w:rPr>
        <w:t xml:space="preserve">Le invitamos a participar en la investigación titulada "Sistema web con chatbot para la gestión de pacientes en una fundación oncológica privada de Lima, 2026", cuyo objetivo es determinar la influencia de un sistema web con chatbot para la gestión de pacientes en una fundación oncológica privada de Lima, 2026. Esta investigación es desarrollada por estudiantes del programa de Ingeniería de Sistemas de la Universidad César Vallejo, campus Lima Norte, y aprobada por la autoridad correspondiente de la Universidad. El estudio busca reducir los tiempos de registro, las inasistencias a las citas y las consultas sin resolver, problemas que afectan la continuidad de la atención de los pacientes oncológicos.</w:t>
      </w:r>
    </w:p>
    <w:p>
      <w:pPr>
        <w:spacing w:after="120" w:before="0" w:line="360"/>
        <w:jc w:val="both"/>
      </w:pPr>
      <w:r>
        <w:rPr>
          <w:rFonts w:ascii="Arial" w:cs="Arial" w:eastAsia="Arial" w:hAnsi="Arial"/>
          <w:b/>
          <w:bCs/>
          <w:sz w:val="24"/>
          <w:szCs w:val="24"/>
        </w:rPr>
        <w:t xml:space="preserve">Procedimiento</w:t>
      </w:r>
    </w:p>
    <w:p>
      <w:pPr>
        <w:spacing w:after="120" w:before="0" w:line="360"/>
        <w:jc w:val="both"/>
      </w:pPr>
      <w:r>
        <w:rPr>
          <w:rFonts w:ascii="Arial" w:cs="Arial" w:eastAsia="Arial" w:hAnsi="Arial"/>
          <w:sz w:val="24"/>
          <w:szCs w:val="24"/>
        </w:rPr>
        <w:t xml:space="preserve">Si usted decide participar, los investigadores registrarán, sin intervenir en su atención, datos administrativos de sus procesos en la institución: la duración de su registro, la asistencia a sus citas programadas y la resolución de las consultas que realice por los canales de la fundación o mediante el chatbot. No se aplicarán encuestas ni entrevistas. Sus datos serán codificados mediante un número de identificación para garantizar su anonimato.</w:t>
      </w:r>
    </w:p>
    <w:p>
      <w:pPr>
        <w:spacing w:after="120" w:before="0" w:line="360"/>
        <w:jc w:val="both"/>
      </w:pPr>
      <w:r>
        <w:rPr>
          <w:rFonts w:ascii="Arial" w:cs="Arial" w:eastAsia="Arial" w:hAnsi="Arial"/>
          <w:b/>
          <w:bCs/>
          <w:sz w:val="24"/>
          <w:szCs w:val="24"/>
        </w:rPr>
        <w:t xml:space="preserve">Participación voluntaria (principio de autonomía)</w:t>
      </w:r>
    </w:p>
    <w:p>
      <w:pPr>
        <w:spacing w:after="120" w:before="0" w:line="360"/>
        <w:jc w:val="both"/>
      </w:pPr>
      <w:r>
        <w:rPr>
          <w:rFonts w:ascii="Arial" w:cs="Arial" w:eastAsia="Arial" w:hAnsi="Arial"/>
          <w:sz w:val="24"/>
          <w:szCs w:val="24"/>
        </w:rPr>
        <w:t xml:space="preserve">Usted puede formular todas las preguntas que necesite antes de decidir su participación, y su decisión será respetada. Si luego de aceptar no desea continuar, puede retirarse sin ninguna consecuencia para su atención.</w:t>
      </w:r>
    </w:p>
    <w:p>
      <w:pPr>
        <w:spacing w:after="120" w:before="0" w:line="360"/>
        <w:jc w:val="both"/>
      </w:pPr>
      <w:r>
        <w:rPr>
          <w:rFonts w:ascii="Arial" w:cs="Arial" w:eastAsia="Arial" w:hAnsi="Arial"/>
          <w:b/>
          <w:bCs/>
          <w:sz w:val="24"/>
          <w:szCs w:val="24"/>
        </w:rPr>
        <w:t xml:space="preserve">Riesgo (principio de no maleficencia)</w:t>
      </w:r>
    </w:p>
    <w:p>
      <w:pPr>
        <w:spacing w:after="120" w:before="0" w:line="360"/>
        <w:jc w:val="both"/>
      </w:pPr>
      <w:r>
        <w:rPr>
          <w:rFonts w:ascii="Arial" w:cs="Arial" w:eastAsia="Arial" w:hAnsi="Arial"/>
          <w:sz w:val="24"/>
          <w:szCs w:val="24"/>
        </w:rPr>
        <w:t xml:space="preserve">No existen riesgos ni daños asociados a su participación, pues el estudio no modifica su tratamiento ni recoge información clínica sensible.</w:t>
      </w:r>
    </w:p>
    <w:p>
      <w:pPr>
        <w:spacing w:after="120" w:before="0" w:line="360"/>
        <w:jc w:val="both"/>
      </w:pPr>
      <w:r>
        <w:rPr>
          <w:rFonts w:ascii="Arial" w:cs="Arial" w:eastAsia="Arial" w:hAnsi="Arial"/>
          <w:b/>
          <w:bCs/>
          <w:sz w:val="24"/>
          <w:szCs w:val="24"/>
        </w:rPr>
        <w:t xml:space="preserve">Beneficios (principio de beneficencia)</w:t>
      </w:r>
    </w:p>
    <w:p>
      <w:pPr>
        <w:spacing w:after="120" w:before="0" w:line="360"/>
        <w:jc w:val="both"/>
      </w:pPr>
      <w:r>
        <w:rPr>
          <w:rFonts w:ascii="Arial" w:cs="Arial" w:eastAsia="Arial" w:hAnsi="Arial"/>
          <w:sz w:val="24"/>
          <w:szCs w:val="24"/>
        </w:rPr>
        <w:t xml:space="preserve">Los resultados se compartirán con la institución al finalizar la investigación. No se otorgará beneficio económico ni de otra índole; sin embargo, los resultados pueden contribuir a mejorar la atención de los pacientes de la fundación.</w:t>
      </w:r>
    </w:p>
    <w:p>
      <w:pPr>
        <w:spacing w:after="120" w:before="0" w:line="360"/>
        <w:jc w:val="both"/>
      </w:pPr>
      <w:r>
        <w:rPr>
          <w:rFonts w:ascii="Arial" w:cs="Arial" w:eastAsia="Arial" w:hAnsi="Arial"/>
          <w:b/>
          <w:bCs/>
          <w:sz w:val="24"/>
          <w:szCs w:val="24"/>
        </w:rPr>
        <w:t xml:space="preserve">Confidencialidad (principio de justicia)</w:t>
      </w:r>
    </w:p>
    <w:p>
      <w:pPr>
        <w:spacing w:after="120" w:before="0" w:line="360"/>
        <w:jc w:val="both"/>
      </w:pPr>
      <w:r>
        <w:rPr>
          <w:rFonts w:ascii="Arial" w:cs="Arial" w:eastAsia="Arial" w:hAnsi="Arial"/>
          <w:sz w:val="24"/>
          <w:szCs w:val="24"/>
        </w:rPr>
        <w:t xml:space="preserve">Los datos recolectados son anónimos y no permitirán su identificación. La información será confidencial, no se utilizará para ningún propósito ajeno a la investigación, permanecerá bajo custodia de los investigadores y será eliminada de manera adecuada al término del estudio.</w:t>
      </w:r>
    </w:p>
    <w:p>
      <w:pPr>
        <w:spacing w:after="120" w:before="0" w:line="360"/>
        <w:jc w:val="both"/>
      </w:pPr>
      <w:r>
        <w:rPr>
          <w:rFonts w:ascii="Arial" w:cs="Arial" w:eastAsia="Arial" w:hAnsi="Arial"/>
          <w:b/>
          <w:bCs/>
          <w:sz w:val="24"/>
          <w:szCs w:val="24"/>
        </w:rPr>
        <w:t xml:space="preserve">Problemas o preguntas</w:t>
      </w:r>
    </w:p>
    <w:p>
      <w:pPr>
        <w:spacing w:after="120" w:before="0" w:line="360"/>
        <w:jc w:val="both"/>
      </w:pPr>
      <w:r>
        <w:rPr>
          <w:rFonts w:ascii="Arial" w:cs="Arial" w:eastAsia="Arial" w:hAnsi="Arial"/>
          <w:sz w:val="24"/>
          <w:szCs w:val="24"/>
        </w:rPr>
        <w:t xml:space="preserve">Si tiene preguntas sobre la investigación, puede contactar a los investigadores Jasmin Arnao Fretel y Eros Matias Davila Anchante, </w:t>
      </w:r>
      <w:r>
        <w:rPr>
          <w:rFonts w:ascii="Arial" w:cs="Arial" w:eastAsia="Arial" w:hAnsi="Arial"/>
          <w:sz w:val="24"/>
          <w:szCs w:val="24"/>
          <w:highlight w:val="yellow"/>
        </w:rPr>
        <w:t xml:space="preserve">correos electrónicos</w:t>
      </w:r>
      <w:r>
        <w:rPr>
          <w:rFonts w:ascii="Arial" w:cs="Arial" w:eastAsia="Arial" w:hAnsi="Arial"/>
          <w:sz w:val="24"/>
          <w:szCs w:val="24"/>
        </w:rPr>
        <w:t xml:space="preserve">, o al asesor Mgtr. Iván Martín Pérez Farfán, </w:t>
      </w:r>
      <w:r>
        <w:rPr>
          <w:rFonts w:ascii="Arial" w:cs="Arial" w:eastAsia="Arial" w:hAnsi="Arial"/>
          <w:sz w:val="24"/>
          <w:szCs w:val="24"/>
          <w:highlight w:val="yellow"/>
        </w:rPr>
        <w:t xml:space="preserve">correo electrónico</w:t>
      </w:r>
      <w:r>
        <w:rPr>
          <w:rFonts w:ascii="Arial" w:cs="Arial" w:eastAsia="Arial" w:hAnsi="Arial"/>
          <w:sz w:val="24"/>
          <w:szCs w:val="24"/>
        </w:rPr>
        <w:t xml:space="preserve">.</w:t>
      </w:r>
    </w:p>
    <w:p>
      <w:pPr>
        <w:spacing w:after="120" w:before="0" w:line="360"/>
        <w:jc w:val="both"/>
      </w:pPr>
      <w:r>
        <w:rPr>
          <w:rFonts w:ascii="Arial" w:cs="Arial" w:eastAsia="Arial" w:hAnsi="Arial"/>
          <w:b/>
          <w:bCs/>
          <w:sz w:val="24"/>
          <w:szCs w:val="24"/>
        </w:rPr>
        <w:t xml:space="preserve">Consentimiento</w:t>
      </w:r>
    </w:p>
    <w:p>
      <w:pPr>
        <w:spacing w:after="120" w:before="0" w:line="360"/>
        <w:jc w:val="both"/>
      </w:pPr>
      <w:r>
        <w:rPr>
          <w:rFonts w:ascii="Arial" w:cs="Arial" w:eastAsia="Arial" w:hAnsi="Arial"/>
          <w:sz w:val="24"/>
          <w:szCs w:val="24"/>
        </w:rPr>
        <w:t xml:space="preserve">Después de haber leído los propósitos de la investigación, autorizo mi participación en el estudio antes mencionado.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300"/>
        <w:gridCol w:w="1000"/>
        <w:gridCol w:w="2126"/>
      </w:tblGrid>
      <w:tr>
        <w:trPr>
          <w:tblHeader/>
        </w:trPr>
        <w:tc>
          <w:tcPr>
            <w:tcW w:type="dxa" w:w="3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Nombres y apellidos de quien otorga el consentimiento</w:t>
            </w:r>
          </w:p>
        </w:tc>
        <w:tc>
          <w:tcPr>
            <w:tcW w:type="dxa" w:w="1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DNI N.°</w:t>
            </w:r>
          </w:p>
        </w:tc>
        <w:tc>
          <w:tcPr>
            <w:tcW w:type="dxa" w:w="13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Hora</w:t>
            </w:r>
          </w:p>
        </w:tc>
        <w:tc>
          <w:tcPr>
            <w:tcW w:type="dxa" w:w="21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Firma</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300"/>
        <w:gridCol w:w="1000"/>
        <w:gridCol w:w="2126"/>
      </w:tblGrid>
      <w:tr>
        <w:trPr>
          <w:tblHeader/>
        </w:trPr>
        <w:tc>
          <w:tcPr>
            <w:tcW w:type="dxa" w:w="3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Nombres y apellidos de el investigador de correspondencia</w:t>
            </w:r>
          </w:p>
        </w:tc>
        <w:tc>
          <w:tcPr>
            <w:tcW w:type="dxa" w:w="1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DNI N.°</w:t>
            </w:r>
          </w:p>
        </w:tc>
        <w:tc>
          <w:tcPr>
            <w:tcW w:type="dxa" w:w="13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Hora</w:t>
            </w:r>
          </w:p>
        </w:tc>
        <w:tc>
          <w:tcPr>
            <w:tcW w:type="dxa" w:w="21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Firma</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pStyle w:val="Heading2"/>
        <w:pageBreakBefore/>
        <w:spacing w:after="160" w:before="120" w:line="360"/>
      </w:pPr>
      <w:r>
        <w:rPr>
          <w:rFonts w:ascii="Arial" w:cs="Arial" w:eastAsia="Arial" w:hAnsi="Arial"/>
          <w:b/>
          <w:bCs/>
          <w:sz w:val="24"/>
          <w:szCs w:val="24"/>
        </w:rPr>
        <w:t xml:space="preserve">Anexo 5. Solicitud de autorización para realizar la investigación en la institución</w:t>
      </w:r>
    </w:p>
    <w:p>
      <w:pPr>
        <w:spacing w:after="120" w:before="0" w:line="360"/>
        <w:jc w:val="right"/>
      </w:pPr>
      <w:r>
        <w:rPr>
          <w:rFonts w:ascii="Arial" w:cs="Arial" w:eastAsia="Arial" w:hAnsi="Arial"/>
          <w:sz w:val="24"/>
          <w:szCs w:val="24"/>
        </w:rPr>
        <w:t xml:space="preserve">Lima, </w:t>
      </w:r>
      <w:r>
        <w:rPr>
          <w:rFonts w:ascii="Arial" w:cs="Arial" w:eastAsia="Arial" w:hAnsi="Arial"/>
          <w:sz w:val="24"/>
          <w:szCs w:val="24"/>
          <w:highlight w:val="yellow"/>
        </w:rPr>
        <w:t xml:space="preserve">fecha</w:t>
      </w:r>
    </w:p>
    <w:p>
      <w:pPr>
        <w:spacing w:after="0" w:before="0" w:line="360"/>
        <w:jc w:val="both"/>
      </w:pPr>
      <w:r>
        <w:rPr>
          <w:rFonts w:ascii="Arial" w:cs="Arial" w:eastAsia="Arial" w:hAnsi="Arial"/>
          <w:sz w:val="24"/>
          <w:szCs w:val="24"/>
        </w:rPr>
        <w:t xml:space="preserve">Señor(a): </w:t>
      </w:r>
      <w:r>
        <w:rPr>
          <w:rFonts w:ascii="Arial" w:cs="Arial" w:eastAsia="Arial" w:hAnsi="Arial"/>
          <w:sz w:val="24"/>
          <w:szCs w:val="24"/>
          <w:highlight w:val="yellow"/>
        </w:rPr>
        <w:t xml:space="preserve">Apellidos, nombres</w:t>
      </w:r>
      <w:r>
        <w:rPr>
          <w:rFonts w:ascii="Arial" w:cs="Arial" w:eastAsia="Arial" w:hAnsi="Arial"/>
          <w:sz w:val="24"/>
          <w:szCs w:val="24"/>
        </w:rPr>
        <w:t xml:space="preserve">
</w:t>
      </w:r>
    </w:p>
    <w:p>
      <w:pPr>
        <w:spacing w:after="0" w:before="0" w:line="360"/>
        <w:jc w:val="both"/>
      </w:pPr>
      <w:r>
        <w:rPr>
          <w:rFonts w:ascii="Arial" w:cs="Arial" w:eastAsia="Arial" w:hAnsi="Arial"/>
          <w:sz w:val="24"/>
          <w:szCs w:val="24"/>
          <w:highlight w:val="yellow"/>
        </w:rPr>
        <w:t xml:space="preserve">Cargo</w:t>
      </w:r>
    </w:p>
    <w:p>
      <w:pPr>
        <w:spacing w:after="0" w:before="0" w:line="360"/>
        <w:jc w:val="both"/>
      </w:pPr>
      <w:r>
        <w:rPr>
          <w:rFonts w:ascii="Arial" w:cs="Arial" w:eastAsia="Arial" w:hAnsi="Arial"/>
          <w:sz w:val="24"/>
          <w:szCs w:val="24"/>
          <w:highlight w:val="yellow"/>
        </w:rPr>
        <w:t xml:space="preserve">Nombre de la institución</w:t>
      </w:r>
    </w:p>
    <w:p>
      <w:pPr>
        <w:spacing w:after="120" w:before="0" w:line="360"/>
        <w:jc w:val="both"/>
      </w:pPr>
      <w:r>
        <w:rPr>
          <w:rFonts w:ascii="Arial" w:cs="Arial" w:eastAsia="Arial" w:hAnsi="Arial"/>
          <w:sz w:val="24"/>
          <w:szCs w:val="24"/>
        </w:rPr>
        <w:t xml:space="preserve">Presente.-</w:t>
      </w:r>
    </w:p>
    <w:p>
      <w:pPr>
        <w:spacing w:after="120" w:before="0" w:line="360"/>
        <w:jc w:val="both"/>
      </w:pPr>
      <w:r>
        <w:rPr>
          <w:rFonts w:ascii="Arial" w:cs="Arial" w:eastAsia="Arial" w:hAnsi="Arial"/>
          <w:sz w:val="24"/>
          <w:szCs w:val="24"/>
        </w:rPr>
        <w:t xml:space="preserve">Es grato dirigirnos a usted para saludarle y manifestarle que, dentro de nuestra formación académica en la experiencia curricular de Proyecto de Investigación II de la Escuela Profesional de Ingeniería de Sistemas de la Universidad César Vallejo, se contempla la realización de una investigación con fines netamente académicos para la obtención del título profesional.</w:t>
      </w:r>
    </w:p>
    <w:p>
      <w:pPr>
        <w:spacing w:after="120" w:before="0" w:line="360"/>
        <w:jc w:val="both"/>
      </w:pPr>
      <w:r>
        <w:rPr>
          <w:rFonts w:ascii="Arial" w:cs="Arial" w:eastAsia="Arial" w:hAnsi="Arial"/>
          <w:sz w:val="24"/>
          <w:szCs w:val="24"/>
        </w:rPr>
        <w:t xml:space="preserve">En tal sentido, considerando la relevancia de su organización, solicitamos su colaboración para realizar la investigación titulada "Sistema web con chatbot para la gestión de pacientes en una fundación oncológica privada de Lima, 2026" en su representada y obtener la información necesaria para su desarrollo. Nos comprometemos a mantener en reserva el nombre o cualquier distintivo de la institución, salvo que usted considere oportuna su difusión.</w:t>
      </w:r>
    </w:p>
    <w:p>
      <w:pPr>
        <w:spacing w:after="120" w:before="0" w:line="360"/>
        <w:jc w:val="both"/>
      </w:pPr>
      <w:r>
        <w:rPr>
          <w:rFonts w:ascii="Arial" w:cs="Arial" w:eastAsia="Arial" w:hAnsi="Arial"/>
          <w:sz w:val="24"/>
          <w:szCs w:val="24"/>
        </w:rPr>
        <w:t xml:space="preserve">Se adjunta la carta de autorización de uso de información, para ser completada por el representante de la institución en caso de aceptar la presente solicitud. Agradecemos anticipadamente su apoyo y hacemos propicia la oportunidad para expresarle las muestras de nuestra especial consideración.</w:t>
      </w:r>
    </w:p>
    <w:p>
      <w:pPr>
        <w:spacing w:after="120" w:before="0" w:line="360"/>
        <w:jc w:val="both"/>
      </w:pPr>
      <w:r>
        <w:rPr>
          <w:rFonts w:ascii="Arial" w:cs="Arial" w:eastAsia="Arial" w:hAnsi="Arial"/>
          <w:sz w:val="24"/>
          <w:szCs w:val="24"/>
        </w:rPr>
        <w:t xml:space="preserve">Atentamente,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026"/>
      </w:tblGrid>
      <w:tr>
        <w:trPr>
          <w:tblHeader/>
        </w:trPr>
        <w:tc>
          <w:tcPr>
            <w:tcW w:type="dxa" w:w="4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Nombres y apellidos de los investigadores</w:t>
            </w:r>
          </w:p>
        </w:tc>
        <w:tc>
          <w:tcPr>
            <w:tcW w:type="dxa" w:w="18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DNI N.°</w:t>
            </w:r>
          </w:p>
        </w:tc>
        <w:tc>
          <w:tcPr>
            <w:tcW w:type="dxa" w:w="3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Firma</w:t>
            </w: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Arnao Fretel, Jasmin</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Davila Anchante, Eros Matias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pStyle w:val="Heading2"/>
        <w:pageBreakBefore/>
        <w:spacing w:after="160" w:before="120" w:line="360"/>
      </w:pPr>
      <w:r>
        <w:rPr>
          <w:rFonts w:ascii="Arial" w:cs="Arial" w:eastAsia="Arial" w:hAnsi="Arial"/>
          <w:b/>
          <w:bCs/>
          <w:sz w:val="24"/>
          <w:szCs w:val="24"/>
        </w:rPr>
        <w:t xml:space="preserve">Anexo 6. Autorización de uso de información de la institución</w:t>
      </w:r>
    </w:p>
    <w:p>
      <w:pPr>
        <w:spacing w:after="120" w:before="0" w:line="360"/>
        <w:jc w:val="right"/>
      </w:pPr>
      <w:r>
        <w:rPr>
          <w:rFonts w:ascii="Arial" w:cs="Arial" w:eastAsia="Arial" w:hAnsi="Arial"/>
          <w:sz w:val="24"/>
          <w:szCs w:val="24"/>
        </w:rPr>
        <w:t xml:space="preserve">Lima, </w:t>
      </w:r>
      <w:r>
        <w:rPr>
          <w:rFonts w:ascii="Arial" w:cs="Arial" w:eastAsia="Arial" w:hAnsi="Arial"/>
          <w:sz w:val="24"/>
          <w:szCs w:val="24"/>
          <w:highlight w:val="yellow"/>
        </w:rPr>
        <w:t xml:space="preserve">fecha</w:t>
      </w:r>
    </w:p>
    <w:p>
      <w:pPr>
        <w:spacing w:after="120" w:before="0" w:line="360"/>
        <w:jc w:val="both"/>
      </w:pPr>
      <w:r>
        <w:rPr>
          <w:rFonts w:ascii="Arial" w:cs="Arial" w:eastAsia="Arial" w:hAnsi="Arial"/>
          <w:sz w:val="24"/>
          <w:szCs w:val="24"/>
        </w:rPr>
        <w:t xml:space="preserve">Yo, </w:t>
      </w:r>
      <w:r>
        <w:rPr>
          <w:rFonts w:ascii="Arial" w:cs="Arial" w:eastAsia="Arial" w:hAnsi="Arial"/>
          <w:sz w:val="24"/>
          <w:szCs w:val="24"/>
          <w:highlight w:val="yellow"/>
        </w:rPr>
        <w:t xml:space="preserve">nombre del representante legal o persona facultada</w:t>
      </w:r>
      <w:r>
        <w:rPr>
          <w:rFonts w:ascii="Arial" w:cs="Arial" w:eastAsia="Arial" w:hAnsi="Arial"/>
          <w:sz w:val="24"/>
          <w:szCs w:val="24"/>
        </w:rPr>
        <w:t xml:space="preserve">, identificado con DNI N.° </w:t>
      </w:r>
      <w:r>
        <w:rPr>
          <w:rFonts w:ascii="Arial" w:cs="Arial" w:eastAsia="Arial" w:hAnsi="Arial"/>
          <w:sz w:val="24"/>
          <w:szCs w:val="24"/>
          <w:highlight w:val="yellow"/>
        </w:rPr>
        <w:t xml:space="preserve">número</w:t>
      </w:r>
      <w:r>
        <w:rPr>
          <w:rFonts w:ascii="Arial" w:cs="Arial" w:eastAsia="Arial" w:hAnsi="Arial"/>
          <w:sz w:val="24"/>
          <w:szCs w:val="24"/>
        </w:rPr>
        <w:t xml:space="preserve">, en mi calidad de </w:t>
      </w:r>
      <w:r>
        <w:rPr>
          <w:rFonts w:ascii="Arial" w:cs="Arial" w:eastAsia="Arial" w:hAnsi="Arial"/>
          <w:sz w:val="24"/>
          <w:szCs w:val="24"/>
          <w:highlight w:val="yellow"/>
        </w:rPr>
        <w:t xml:space="preserve">cargo</w:t>
      </w:r>
      <w:r>
        <w:rPr>
          <w:rFonts w:ascii="Arial" w:cs="Arial" w:eastAsia="Arial" w:hAnsi="Arial"/>
          <w:sz w:val="24"/>
          <w:szCs w:val="24"/>
        </w:rPr>
        <w:t xml:space="preserve"> del área de </w:t>
      </w:r>
      <w:r>
        <w:rPr>
          <w:rFonts w:ascii="Arial" w:cs="Arial" w:eastAsia="Arial" w:hAnsi="Arial"/>
          <w:sz w:val="24"/>
          <w:szCs w:val="24"/>
          <w:highlight w:val="yellow"/>
        </w:rPr>
        <w:t xml:space="preserve">área</w:t>
      </w:r>
      <w:r>
        <w:rPr>
          <w:rFonts w:ascii="Arial" w:cs="Arial" w:eastAsia="Arial" w:hAnsi="Arial"/>
          <w:sz w:val="24"/>
          <w:szCs w:val="24"/>
        </w:rPr>
        <w:t xml:space="preserve"> de </w:t>
      </w:r>
      <w:r>
        <w:rPr>
          <w:rFonts w:ascii="Arial" w:cs="Arial" w:eastAsia="Arial" w:hAnsi="Arial"/>
          <w:sz w:val="24"/>
          <w:szCs w:val="24"/>
          <w:highlight w:val="yellow"/>
        </w:rPr>
        <w:t xml:space="preserve">nombre de la institución</w:t>
      </w:r>
      <w:r>
        <w:rPr>
          <w:rFonts w:ascii="Arial" w:cs="Arial" w:eastAsia="Arial" w:hAnsi="Arial"/>
          <w:sz w:val="24"/>
          <w:szCs w:val="24"/>
        </w:rPr>
        <w:t xml:space="preserve">, con R.U.C. N.° </w:t>
      </w:r>
      <w:r>
        <w:rPr>
          <w:rFonts w:ascii="Arial" w:cs="Arial" w:eastAsia="Arial" w:hAnsi="Arial"/>
          <w:sz w:val="24"/>
          <w:szCs w:val="24"/>
          <w:highlight w:val="yellow"/>
        </w:rPr>
        <w:t xml:space="preserve">número</w:t>
      </w:r>
      <w:r>
        <w:rPr>
          <w:rFonts w:ascii="Arial" w:cs="Arial" w:eastAsia="Arial" w:hAnsi="Arial"/>
          <w:sz w:val="24"/>
          <w:szCs w:val="24"/>
        </w:rPr>
        <w:t xml:space="preserve">, ubicada en la ciudad de Lima,</w:t>
      </w:r>
    </w:p>
    <w:p>
      <w:pPr>
        <w:spacing w:after="120" w:before="0" w:line="360"/>
        <w:jc w:val="center"/>
      </w:pPr>
      <w:r>
        <w:rPr>
          <w:rFonts w:ascii="Arial" w:cs="Arial" w:eastAsia="Arial" w:hAnsi="Arial"/>
          <w:b/>
          <w:bCs/>
          <w:sz w:val="24"/>
          <w:szCs w:val="24"/>
        </w:rPr>
        <w:t xml:space="preserve">OTORGO LA AUTORIZACIÓN</w:t>
      </w:r>
    </w:p>
    <w:p>
      <w:pPr>
        <w:spacing w:after="120" w:before="0" w:line="360"/>
        <w:jc w:val="both"/>
      </w:pPr>
      <w:r>
        <w:rPr>
          <w:rFonts w:ascii="Arial" w:cs="Arial" w:eastAsia="Arial" w:hAnsi="Arial"/>
          <w:sz w:val="24"/>
          <w:szCs w:val="24"/>
        </w:rPr>
        <w:t xml:space="preserve">a los señores Jasmin Arnao Fretel y Eros Matias Davila Anchante, identificados con DNI N.° </w:t>
      </w:r>
      <w:r>
        <w:rPr>
          <w:rFonts w:ascii="Arial" w:cs="Arial" w:eastAsia="Arial" w:hAnsi="Arial"/>
          <w:sz w:val="24"/>
          <w:szCs w:val="24"/>
          <w:highlight w:val="yellow"/>
        </w:rPr>
        <w:t xml:space="preserve">números</w:t>
      </w:r>
      <w:r>
        <w:rPr>
          <w:rFonts w:ascii="Arial" w:cs="Arial" w:eastAsia="Arial" w:hAnsi="Arial"/>
          <w:sz w:val="24"/>
          <w:szCs w:val="24"/>
        </w:rPr>
        <w:t xml:space="preserve">, del Programa de Estudios de Ingeniería de Sistemas de la Universidad César Vallejo, para que tengan acceso y empleen los siguientes datos de la institución: registros de pacientes, programación y asistencia a citas médicas y consultas administrativas recibidas durante agosto y setiembre de 2026, con la finalidad de desarrollar su investigación titulada "Sistema web con chatbot para la gestión de pacientes en una fundación oncológica privada de Lima, 2026".</w:t>
      </w:r>
    </w:p>
    <w:p>
      <w:pPr>
        <w:spacing w:after="120" w:before="0" w:line="360"/>
        <w:jc w:val="both"/>
      </w:pPr>
      <w:r>
        <w:rPr>
          <w:rFonts w:ascii="Arial" w:cs="Arial" w:eastAsia="Arial" w:hAnsi="Arial"/>
          <w:sz w:val="24"/>
          <w:szCs w:val="24"/>
        </w:rPr>
        <w:t xml:space="preserve">Indicar si el representante solicita mantener en reserva el nombre o cualquier distintivo de la institución:</w:t>
      </w:r>
    </w:p>
    <w:p>
      <w:pPr>
        <w:spacing w:after="0" w:before="0" w:line="360"/>
        <w:jc w:val="both"/>
      </w:pPr>
      <w:r>
        <w:rPr>
          <w:rFonts w:ascii="Arial" w:cs="Arial" w:eastAsia="Arial" w:hAnsi="Arial"/>
          <w:sz w:val="24"/>
          <w:szCs w:val="24"/>
        </w:rPr>
        <w:t xml:space="preserve">( ) Mantener en reserva el nombre o cualquier distintivo de la institución.</w:t>
      </w:r>
    </w:p>
    <w:p>
      <w:pPr>
        <w:spacing w:after="120" w:before="0" w:line="360"/>
        <w:jc w:val="both"/>
      </w:pPr>
      <w:r>
        <w:rPr>
          <w:rFonts w:ascii="Arial" w:cs="Arial" w:eastAsia="Arial" w:hAnsi="Arial"/>
          <w:sz w:val="24"/>
          <w:szCs w:val="24"/>
        </w:rPr>
        <w:t xml:space="preserve">( ) Mencionar el nombre de la institución.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026"/>
      </w:tblGrid>
      <w:tr>
        <w:trPr>
          <w:tblHeader/>
        </w:trPr>
        <w:tc>
          <w:tcPr>
            <w:tcW w:type="dxa" w:w="4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Nombres y apellidos del representante</w:t>
            </w:r>
          </w:p>
        </w:tc>
        <w:tc>
          <w:tcPr>
            <w:tcW w:type="dxa" w:w="18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DNI N.°</w:t>
            </w:r>
          </w:p>
        </w:tc>
        <w:tc>
          <w:tcPr>
            <w:tcW w:type="dxa" w:w="3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Firma</w:t>
            </w: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120" w:before="200" w:line="360"/>
        <w:jc w:val="both"/>
      </w:pPr>
      <w:r>
        <w:rPr>
          <w:rFonts w:ascii="Arial" w:cs="Arial" w:eastAsia="Arial" w:hAnsi="Arial"/>
          <w:sz w:val="22"/>
          <w:szCs w:val="22"/>
        </w:rPr>
        <w:t xml:space="preserve">Los investigadores declaran que los datos emitidos en esta carta y en el informe de investigación son auténticos. En caso de comprobarse la falsedad de datos, se someterán al procedimiento disciplinario correspondiente de acuerdo con el Código de Ética en Investigación de la Universidad y asumirán toda la responsabilidad ante las acciones legales que la institución pueda ejecutar.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026"/>
      </w:tblGrid>
      <w:tr>
        <w:trPr>
          <w:tblHeader/>
        </w:trPr>
        <w:tc>
          <w:tcPr>
            <w:tcW w:type="dxa" w:w="4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Nombres y apellidos de los investigadores</w:t>
            </w:r>
          </w:p>
        </w:tc>
        <w:tc>
          <w:tcPr>
            <w:tcW w:type="dxa" w:w="18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DNI N.°</w:t>
            </w:r>
          </w:p>
        </w:tc>
        <w:tc>
          <w:tcPr>
            <w:tcW w:type="dxa" w:w="3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Firma</w:t>
            </w: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Arnao Fretel, Jasmin</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Davila Anchante, Eros Matias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pStyle w:val="Heading2"/>
        <w:pageBreakBefore/>
        <w:spacing w:after="160" w:before="120" w:line="360"/>
      </w:pPr>
      <w:r>
        <w:rPr>
          <w:rFonts w:ascii="Arial" w:cs="Arial" w:eastAsia="Arial" w:hAnsi="Arial"/>
          <w:b/>
          <w:bCs/>
          <w:sz w:val="24"/>
          <w:szCs w:val="24"/>
        </w:rPr>
        <w:t xml:space="preserve">Anexo 7. Análisis complementario</w:t>
      </w:r>
    </w:p>
    <w:p>
      <w:pPr>
        <w:spacing w:after="120" w:before="0" w:line="360"/>
        <w:jc w:val="both"/>
      </w:pPr>
      <w:r>
        <w:rPr>
          <w:rFonts w:ascii="Arial" w:cs="Arial" w:eastAsia="Arial" w:hAnsi="Arial"/>
          <w:sz w:val="24"/>
          <w:szCs w:val="24"/>
        </w:rPr>
        <w:t xml:space="preserve">No se aplicó una fórmula probabilística para determinar el tamaño de la muestra, dado que el muestreo fue no probabilístico por conveniencia [41]. Se trabajó con la práctica totalidad de la población accesible (30 de 32 pacientes activos que cumplieron los criterios de selección) como muestra de referencia. Puesto que los indicadores se calculan sobre procesos y no sobre personas, la base estadística del contraste estuvo constituida por los pares de sesiones de observación que se detallan a continuación, emparejados por día de la semana y orden de aparición. Los pares 1 a 12 coinciden en el día; el par 13 une las últimas sesiones de cada etapa y se excluye en el análisis de sensibilidad.</w:t>
      </w:r>
    </w:p>
    <w:p>
      <w:pPr>
        <w:keepNext/>
        <w:spacing w:after="60" w:before="200" w:line="360"/>
      </w:pPr>
      <w:r>
        <w:rPr>
          <w:rFonts w:ascii="Arial" w:cs="Arial" w:eastAsia="Arial" w:hAnsi="Arial"/>
          <w:b/>
          <w:bCs/>
          <w:sz w:val="24"/>
          <w:szCs w:val="24"/>
        </w:rPr>
        <w:t xml:space="preserve">Tabla A2</w:t>
      </w:r>
      <w:r>
        <w:rPr>
          <w:rFonts w:ascii="Arial" w:cs="Arial" w:eastAsia="Arial" w:hAnsi="Arial"/>
          <w:i/>
          <w:iCs/>
          <w:sz w:val="24"/>
          <w:szCs w:val="24"/>
        </w:rPr>
        <w:br/>
        <w:t xml:space="preserve">Calendario de sesiones de observación del pretest y el postest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700"/>
        <w:gridCol w:w="4126"/>
      </w:tblGrid>
      <w:tr>
        <w:trPr>
          <w:tblHeader/>
        </w:trPr>
        <w:tc>
          <w:tcPr>
            <w:tcW w:type="dxa" w:w="1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Par</w:t>
            </w:r>
          </w:p>
        </w:tc>
        <w:tc>
          <w:tcPr>
            <w:tcW w:type="dxa" w:w="37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Sesión pretest</w:t>
            </w:r>
          </w:p>
        </w:tc>
        <w:tc>
          <w:tcPr>
            <w:tcW w:type="dxa" w:w="41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Sesión postest</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03/08/2026 (lun)</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07/09/2026 (lun)</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05/08/2026 (mié)</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02/09/2026 (mié)</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3</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07/08/2026 (vie)</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04/09/2026 (vie)</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4</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10/08/2026 (lun)</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14/09/2026 (lun)</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5</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12/08/2026 (mié)</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09/09/2026 (mié)</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6</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14/08/2026 (vie)</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11/09/2026 (vie)</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7</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17/08/2026 (lun)</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21/09/2026 (lun)</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8</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19/08/2026 (mié)</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16/09/2026 (mié)</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9</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21/08/2026 (vie)</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18/09/2026 (vie)</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10</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24/08/2026 (lun)</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28/09/2026 (lun)</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11</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26/08/2026 (mié)</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23/09/2026 (mié)</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12</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28/08/2026 (vie)</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25/09/2026 (vie)</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13</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31/08/2026 (lun)</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30/09/2026 (mié)</w:t>
            </w:r>
          </w:p>
        </w:tc>
      </w:tr>
    </w:tbl>
    <w:p>
      <w:pPr>
        <w:pStyle w:val="Heading2"/>
        <w:pageBreakBefore/>
        <w:spacing w:after="160" w:before="120" w:line="360"/>
      </w:pPr>
      <w:r>
        <w:rPr>
          <w:rFonts w:ascii="Arial" w:cs="Arial" w:eastAsia="Arial" w:hAnsi="Arial"/>
          <w:b/>
          <w:bCs/>
          <w:sz w:val="24"/>
          <w:szCs w:val="24"/>
        </w:rPr>
        <w:t xml:space="preserve">Anexo 8. Otras evidencias</w:t>
      </w:r>
    </w:p>
    <w:p>
      <w:pPr>
        <w:spacing w:after="120" w:before="0" w:line="360"/>
        <w:jc w:val="both"/>
      </w:pPr>
      <w:r>
        <w:rPr>
          <w:rFonts w:ascii="Arial" w:cs="Arial" w:eastAsia="Arial" w:hAnsi="Arial"/>
          <w:sz w:val="24"/>
          <w:szCs w:val="24"/>
          <w:highlight w:val="yellow"/>
        </w:rPr>
        <w:t xml:space="preserve">Insertar capturas de pantalla del sistema web (módulo de registro, módulo de agendamiento y recordatorios, interfaz del chatbot), diagrama de arquitectura y evidencias de la capacitación al personal.</w:t>
      </w:r>
    </w:p>
    <w:p>
      <w:pPr>
        <w:sectPr>
          <w:footerReference w:type="default" r:id="rId11"/>
          <w:pgSz w:w="11906" w:h="16838" w:orient="portrait"/>
          <w:pgMar w:top="1440" w:right="1440" w:bottom="1440" w:left="1440" w:header="708" w:footer="708" w:gutter="0"/>
          <w:pgNumType/>
          <w:docGrid w:linePitch="360"/>
        </w:sectPr>
      </w:pPr>
    </w:p>
    <w:p>
      <w:pPr>
        <w:pStyle w:val="Heading2"/>
        <w:spacing w:after="160" w:before="120" w:line="360"/>
      </w:pPr>
      <w:r>
        <w:rPr>
          <w:rFonts w:ascii="Arial" w:cs="Arial" w:eastAsia="Arial" w:hAnsi="Arial"/>
          <w:b/>
          <w:bCs/>
          <w:sz w:val="24"/>
          <w:szCs w:val="24"/>
        </w:rPr>
        <w:t xml:space="preserve">Anexo 9. Matriz de consistencia</w:t>
      </w:r>
    </w:p>
    <w:p>
      <w:pPr>
        <w:keepNext/>
        <w:spacing w:after="60" w:before="200" w:line="360"/>
      </w:pPr>
      <w:r>
        <w:rPr>
          <w:rFonts w:ascii="Arial" w:cs="Arial" w:eastAsia="Arial" w:hAnsi="Arial"/>
          <w:b/>
          <w:bCs/>
          <w:sz w:val="24"/>
          <w:szCs w:val="24"/>
        </w:rPr>
        <w:t xml:space="preserve">Tabla A3</w:t>
      </w:r>
      <w:r>
        <w:rPr>
          <w:rFonts w:ascii="Arial" w:cs="Arial" w:eastAsia="Arial" w:hAnsi="Arial"/>
          <w:i/>
          <w:iCs/>
          <w:sz w:val="24"/>
          <w:szCs w:val="24"/>
        </w:rPr>
        <w:br/>
        <w:t xml:space="preserve">Matriz de consistencia</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300"/>
        <w:gridCol w:w="1800"/>
        <w:gridCol w:w="1900"/>
        <w:gridCol w:w="1500"/>
        <w:gridCol w:w="1458"/>
      </w:tblGrid>
      <w:tr>
        <w:trPr>
          <w:tblHeader/>
        </w:trPr>
        <w:tc>
          <w:tcPr>
            <w:tcW w:type="dxa" w:w="2000"/>
            <w:tcBorders>
              <w:top w:val="single" w:color="000000" w:sz="4"/>
              <w:left w:val="single" w:color="000000" w:sz="4"/>
              <w:bottom w:val="single" w:color="000000" w:sz="4"/>
              <w:right w:val="single" w:color="000000" w:sz="4"/>
            </w:tcBorders>
            <w:shd w:fill="E7E6E6" w:color="auto" w:val="clear"/>
            <w:tcMar>
              <w:top w:type="dxa" w:w="40"/>
              <w:left w:type="dxa" w:w="70"/>
              <w:bottom w:type="dxa" w:w="40"/>
              <w:right w:type="dxa" w:w="70"/>
            </w:tcMar>
          </w:tcPr>
          <w:p>
            <w:pPr>
              <w:spacing w:after="20"/>
            </w:pPr>
            <w:r>
              <w:rPr>
                <w:rFonts w:ascii="Arial" w:cs="Arial" w:eastAsia="Arial" w:hAnsi="Arial"/>
                <w:b/>
                <w:bCs/>
                <w:sz w:val="16"/>
                <w:szCs w:val="16"/>
              </w:rPr>
              <w:t xml:space="preserve">Formulación del problema</w:t>
            </w:r>
          </w:p>
        </w:tc>
        <w:tc>
          <w:tcPr>
            <w:tcW w:type="dxa" w:w="2000"/>
            <w:tcBorders>
              <w:top w:val="single" w:color="000000" w:sz="4"/>
              <w:left w:val="single" w:color="000000" w:sz="4"/>
              <w:bottom w:val="single" w:color="000000" w:sz="4"/>
              <w:right w:val="single" w:color="000000" w:sz="4"/>
            </w:tcBorders>
            <w:shd w:fill="E7E6E6" w:color="auto" w:val="clear"/>
            <w:tcMar>
              <w:top w:type="dxa" w:w="40"/>
              <w:left w:type="dxa" w:w="70"/>
              <w:bottom w:type="dxa" w:w="40"/>
              <w:right w:type="dxa" w:w="70"/>
            </w:tcMar>
          </w:tcPr>
          <w:p>
            <w:pPr>
              <w:spacing w:after="20"/>
            </w:pPr>
            <w:r>
              <w:rPr>
                <w:rFonts w:ascii="Arial" w:cs="Arial" w:eastAsia="Arial" w:hAnsi="Arial"/>
                <w:b/>
                <w:bCs/>
                <w:sz w:val="16"/>
                <w:szCs w:val="16"/>
              </w:rPr>
              <w:t xml:space="preserve">Objetivos de investigación</w:t>
            </w:r>
          </w:p>
        </w:tc>
        <w:tc>
          <w:tcPr>
            <w:tcW w:type="dxa" w:w="2000"/>
            <w:tcBorders>
              <w:top w:val="single" w:color="000000" w:sz="4"/>
              <w:left w:val="single" w:color="000000" w:sz="4"/>
              <w:bottom w:val="single" w:color="000000" w:sz="4"/>
              <w:right w:val="single" w:color="000000" w:sz="4"/>
            </w:tcBorders>
            <w:shd w:fill="E7E6E6" w:color="auto" w:val="clear"/>
            <w:tcMar>
              <w:top w:type="dxa" w:w="40"/>
              <w:left w:type="dxa" w:w="70"/>
              <w:bottom w:type="dxa" w:w="40"/>
              <w:right w:type="dxa" w:w="70"/>
            </w:tcMar>
          </w:tcPr>
          <w:p>
            <w:pPr>
              <w:spacing w:after="20"/>
            </w:pPr>
            <w:r>
              <w:rPr>
                <w:rFonts w:ascii="Arial" w:cs="Arial" w:eastAsia="Arial" w:hAnsi="Arial"/>
                <w:b/>
                <w:bCs/>
                <w:sz w:val="16"/>
                <w:szCs w:val="16"/>
              </w:rPr>
              <w:t xml:space="preserve">Hipótesis</w:t>
            </w:r>
          </w:p>
        </w:tc>
        <w:tc>
          <w:tcPr>
            <w:tcW w:type="dxa" w:w="1300"/>
            <w:tcBorders>
              <w:top w:val="single" w:color="000000" w:sz="4"/>
              <w:left w:val="single" w:color="000000" w:sz="4"/>
              <w:bottom w:val="single" w:color="000000" w:sz="4"/>
              <w:right w:val="single" w:color="000000" w:sz="4"/>
            </w:tcBorders>
            <w:shd w:fill="E7E6E6" w:color="auto" w:val="clear"/>
            <w:tcMar>
              <w:top w:type="dxa" w:w="40"/>
              <w:left w:type="dxa" w:w="70"/>
              <w:bottom w:type="dxa" w:w="40"/>
              <w:right w:type="dxa" w:w="70"/>
            </w:tcMar>
          </w:tcPr>
          <w:p>
            <w:pPr>
              <w:spacing w:after="20"/>
            </w:pPr>
            <w:r>
              <w:rPr>
                <w:rFonts w:ascii="Arial" w:cs="Arial" w:eastAsia="Arial" w:hAnsi="Arial"/>
                <w:b/>
                <w:bCs/>
                <w:sz w:val="16"/>
                <w:szCs w:val="16"/>
              </w:rPr>
              <w:t xml:space="preserve">Variables</w:t>
            </w:r>
          </w:p>
        </w:tc>
        <w:tc>
          <w:tcPr>
            <w:tcW w:type="dxa" w:w="1800"/>
            <w:tcBorders>
              <w:top w:val="single" w:color="000000" w:sz="4"/>
              <w:left w:val="single" w:color="000000" w:sz="4"/>
              <w:bottom w:val="single" w:color="000000" w:sz="4"/>
              <w:right w:val="single" w:color="000000" w:sz="4"/>
            </w:tcBorders>
            <w:shd w:fill="E7E6E6" w:color="auto" w:val="clear"/>
            <w:tcMar>
              <w:top w:type="dxa" w:w="40"/>
              <w:left w:type="dxa" w:w="70"/>
              <w:bottom w:type="dxa" w:w="40"/>
              <w:right w:type="dxa" w:w="70"/>
            </w:tcMar>
          </w:tcPr>
          <w:p>
            <w:pPr>
              <w:spacing w:after="20"/>
            </w:pPr>
            <w:r>
              <w:rPr>
                <w:rFonts w:ascii="Arial" w:cs="Arial" w:eastAsia="Arial" w:hAnsi="Arial"/>
                <w:b/>
                <w:bCs/>
                <w:sz w:val="16"/>
                <w:szCs w:val="16"/>
              </w:rPr>
              <w:t xml:space="preserve">Dimensiones e indicadores</w:t>
            </w:r>
          </w:p>
        </w:tc>
        <w:tc>
          <w:tcPr>
            <w:tcW w:type="dxa" w:w="1900"/>
            <w:tcBorders>
              <w:top w:val="single" w:color="000000" w:sz="4"/>
              <w:left w:val="single" w:color="000000" w:sz="4"/>
              <w:bottom w:val="single" w:color="000000" w:sz="4"/>
              <w:right w:val="single" w:color="000000" w:sz="4"/>
            </w:tcBorders>
            <w:shd w:fill="E7E6E6" w:color="auto" w:val="clear"/>
            <w:tcMar>
              <w:top w:type="dxa" w:w="40"/>
              <w:left w:type="dxa" w:w="70"/>
              <w:bottom w:type="dxa" w:w="40"/>
              <w:right w:type="dxa" w:w="70"/>
            </w:tcMar>
          </w:tcPr>
          <w:p>
            <w:pPr>
              <w:spacing w:after="20"/>
            </w:pPr>
            <w:r>
              <w:rPr>
                <w:rFonts w:ascii="Arial" w:cs="Arial" w:eastAsia="Arial" w:hAnsi="Arial"/>
                <w:b/>
                <w:bCs/>
                <w:sz w:val="16"/>
                <w:szCs w:val="16"/>
              </w:rPr>
              <w:t xml:space="preserve">Población y muestra</w:t>
            </w:r>
          </w:p>
        </w:tc>
        <w:tc>
          <w:tcPr>
            <w:tcW w:type="dxa" w:w="1500"/>
            <w:tcBorders>
              <w:top w:val="single" w:color="000000" w:sz="4"/>
              <w:left w:val="single" w:color="000000" w:sz="4"/>
              <w:bottom w:val="single" w:color="000000" w:sz="4"/>
              <w:right w:val="single" w:color="000000" w:sz="4"/>
            </w:tcBorders>
            <w:shd w:fill="E7E6E6" w:color="auto" w:val="clear"/>
            <w:tcMar>
              <w:top w:type="dxa" w:w="40"/>
              <w:left w:type="dxa" w:w="70"/>
              <w:bottom w:type="dxa" w:w="40"/>
              <w:right w:type="dxa" w:w="70"/>
            </w:tcMar>
          </w:tcPr>
          <w:p>
            <w:pPr>
              <w:spacing w:after="20"/>
            </w:pPr>
            <w:r>
              <w:rPr>
                <w:rFonts w:ascii="Arial" w:cs="Arial" w:eastAsia="Arial" w:hAnsi="Arial"/>
                <w:b/>
                <w:bCs/>
                <w:sz w:val="16"/>
                <w:szCs w:val="16"/>
              </w:rPr>
              <w:t xml:space="preserve">Tipo y diseño de investigación</w:t>
            </w:r>
          </w:p>
        </w:tc>
        <w:tc>
          <w:tcPr>
            <w:tcW w:type="dxa" w:w="1458"/>
            <w:tcBorders>
              <w:top w:val="single" w:color="000000" w:sz="4"/>
              <w:left w:val="single" w:color="000000" w:sz="4"/>
              <w:bottom w:val="single" w:color="000000" w:sz="4"/>
              <w:right w:val="single" w:color="000000" w:sz="4"/>
            </w:tcBorders>
            <w:shd w:fill="E7E6E6" w:color="auto" w:val="clear"/>
            <w:tcMar>
              <w:top w:type="dxa" w:w="40"/>
              <w:left w:type="dxa" w:w="70"/>
              <w:bottom w:type="dxa" w:w="40"/>
              <w:right w:type="dxa" w:w="70"/>
            </w:tcMar>
          </w:tcPr>
          <w:p>
            <w:pPr>
              <w:spacing w:after="20"/>
            </w:pPr>
            <w:r>
              <w:rPr>
                <w:rFonts w:ascii="Arial" w:cs="Arial" w:eastAsia="Arial" w:hAnsi="Arial"/>
                <w:b/>
                <w:bCs/>
                <w:sz w:val="16"/>
                <w:szCs w:val="16"/>
              </w:rPr>
              <w:t xml:space="preserve">Técnica e instrumento</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PG: ¿Cómo influye un sistema web con chatbot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OG: Determinar la influencia de un sistema web con chatbot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HG: El sistema web con chatbot mejora significativamente la gestión de pacientes en una fundación oncológica privada de Lima, 2026.</w:t>
            </w:r>
          </w:p>
        </w:tc>
        <w:tc>
          <w:tcPr>
            <w:tcW w:type="dxa" w:w="1300"/>
            <w:vMerge w:val="restart"/>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pPr>
            <w:r>
              <w:rPr>
                <w:rFonts w:ascii="Arial" w:cs="Arial" w:eastAsia="Arial" w:hAnsi="Arial"/>
                <w:sz w:val="16"/>
                <w:szCs w:val="16"/>
              </w:rPr>
              <w:t xml:space="preserve">VI: Sistema web con chatbot</w:t>
            </w:r>
          </w:p>
          <w:p>
            <w:pPr>
              <w:spacing w:after="20"/>
            </w:pPr>
            <w:r>
              <w:rPr>
                <w:rFonts w:ascii="Arial" w:cs="Arial" w:eastAsia="Arial" w:hAnsi="Arial"/>
                <w:sz w:val="16"/>
                <w:szCs w:val="16"/>
              </w:rPr>
              <w:t xml:space="preserve">(módulos de registro, agendamiento con recordatorios y chatbot)</w:t>
            </w:r>
          </w:p>
          <w:p>
            <w:pPr>
              <w:spacing w:after="20"/>
            </w:pPr>
          </w:p>
          <w:p>
            <w:pPr>
              <w:spacing w:after="20"/>
            </w:pPr>
            <w:r>
              <w:rPr>
                <w:rFonts w:ascii="Arial" w:cs="Arial" w:eastAsia="Arial" w:hAnsi="Arial"/>
                <w:sz w:val="16"/>
                <w:szCs w:val="16"/>
              </w:rPr>
              <w:t xml:space="preserve">VD: Gestión de pacientes</w:t>
            </w:r>
          </w:p>
        </w:tc>
        <w:tc>
          <w:tcPr>
            <w:tcW w:type="dxa" w:w="18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D1: Registro de pacientes</w:t>
            </w:r>
          </w:p>
          <w:p>
            <w:pPr>
              <w:spacing w:after="20"/>
            </w:pPr>
            <w:r>
              <w:rPr>
                <w:rFonts w:ascii="Arial" w:cs="Arial" w:eastAsia="Arial" w:hAnsi="Arial"/>
                <w:sz w:val="16"/>
                <w:szCs w:val="16"/>
              </w:rPr>
              <w:t xml:space="preserve">D2: Agendamiento de citas médicas</w:t>
            </w:r>
          </w:p>
          <w:p>
            <w:pPr>
              <w:spacing w:after="20"/>
            </w:pPr>
            <w:r>
              <w:rPr>
                <w:rFonts w:ascii="Arial" w:cs="Arial" w:eastAsia="Arial" w:hAnsi="Arial"/>
                <w:sz w:val="16"/>
                <w:szCs w:val="16"/>
              </w:rPr>
              <w:t xml:space="preserve">D3: Eficacia de la atención</w:t>
            </w:r>
          </w:p>
        </w:tc>
        <w:tc>
          <w:tcPr>
            <w:tcW w:type="dxa" w:w="1900"/>
            <w:vMerge w:val="restart"/>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pPr>
            <w:r>
              <w:rPr>
                <w:rFonts w:ascii="Arial" w:cs="Arial" w:eastAsia="Arial" w:hAnsi="Arial"/>
                <w:sz w:val="16"/>
                <w:szCs w:val="16"/>
              </w:rPr>
              <w:t xml:space="preserve">Población: procesos de registro, citas y consultas del periodo de estudio.</w:t>
            </w:r>
          </w:p>
          <w:p>
            <w:pPr>
              <w:spacing w:after="20"/>
            </w:pPr>
            <w:r>
              <w:rPr>
                <w:rFonts w:ascii="Arial" w:cs="Arial" w:eastAsia="Arial" w:hAnsi="Arial"/>
                <w:sz w:val="16"/>
                <w:szCs w:val="16"/>
              </w:rPr>
              <w:t xml:space="preserve">Población accesible: 32 pacientes activos.</w:t>
            </w:r>
          </w:p>
          <w:p>
            <w:pPr>
              <w:spacing w:after="20"/>
            </w:pPr>
            <w:r>
              <w:rPr>
                <w:rFonts w:ascii="Arial" w:cs="Arial" w:eastAsia="Arial" w:hAnsi="Arial"/>
                <w:sz w:val="16"/>
                <w:szCs w:val="16"/>
              </w:rPr>
              <w:t xml:space="preserve">Muestra de referencia: 30 pacientes.</w:t>
            </w:r>
          </w:p>
          <w:p>
            <w:pPr>
              <w:spacing w:after="20"/>
            </w:pPr>
            <w:r>
              <w:rPr>
                <w:rFonts w:ascii="Arial" w:cs="Arial" w:eastAsia="Arial" w:hAnsi="Arial"/>
                <w:sz w:val="16"/>
                <w:szCs w:val="16"/>
              </w:rPr>
              <w:t xml:space="preserve">Muestreo: no probabilístico por conveniencia.</w:t>
            </w:r>
          </w:p>
          <w:p>
            <w:pPr>
              <w:spacing w:after="20"/>
            </w:pPr>
            <w:r>
              <w:rPr>
                <w:rFonts w:ascii="Arial" w:cs="Arial" w:eastAsia="Arial" w:hAnsi="Arial"/>
                <w:sz w:val="16"/>
                <w:szCs w:val="16"/>
              </w:rPr>
              <w:t xml:space="preserve">Comparación: 13 sesiones pretest y 13 postest.</w:t>
            </w:r>
          </w:p>
        </w:tc>
        <w:tc>
          <w:tcPr>
            <w:tcW w:type="dxa" w:w="1500"/>
            <w:vMerge w:val="restart"/>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pPr>
            <w:r>
              <w:rPr>
                <w:rFonts w:ascii="Arial" w:cs="Arial" w:eastAsia="Arial" w:hAnsi="Arial"/>
                <w:sz w:val="16"/>
                <w:szCs w:val="16"/>
              </w:rPr>
              <w:t xml:space="preserve">Tipo: aplicada.</w:t>
            </w:r>
          </w:p>
          <w:p>
            <w:pPr>
              <w:spacing w:after="20"/>
            </w:pPr>
            <w:r>
              <w:rPr>
                <w:rFonts w:ascii="Arial" w:cs="Arial" w:eastAsia="Arial" w:hAnsi="Arial"/>
                <w:sz w:val="16"/>
                <w:szCs w:val="16"/>
              </w:rPr>
              <w:t xml:space="preserve">Enfoque: cuantitativo.</w:t>
            </w:r>
          </w:p>
          <w:p>
            <w:pPr>
              <w:spacing w:after="20"/>
            </w:pPr>
            <w:r>
              <w:rPr>
                <w:rFonts w:ascii="Arial" w:cs="Arial" w:eastAsia="Arial" w:hAnsi="Arial"/>
                <w:sz w:val="16"/>
                <w:szCs w:val="16"/>
              </w:rPr>
              <w:t xml:space="preserve">Diseño: preexperimental con preprueba y posprueba en un solo grupo.</w:t>
            </w:r>
          </w:p>
          <w:p>
            <w:pPr>
              <w:spacing w:after="20"/>
            </w:pPr>
            <w:r>
              <w:rPr>
                <w:rFonts w:ascii="Arial" w:cs="Arial" w:eastAsia="Arial" w:hAnsi="Arial"/>
                <w:sz w:val="16"/>
                <w:szCs w:val="16"/>
              </w:rPr>
              <w:t xml:space="preserve">Esquema: G: O1 – X – O2.</w:t>
            </w:r>
          </w:p>
          <w:p>
            <w:pPr>
              <w:spacing w:after="20"/>
            </w:pPr>
            <w:r>
              <w:rPr>
                <w:rFonts w:ascii="Arial" w:cs="Arial" w:eastAsia="Arial" w:hAnsi="Arial"/>
                <w:sz w:val="16"/>
                <w:szCs w:val="16"/>
              </w:rPr>
              <w:t xml:space="preserve">Alcance: explicativo.</w:t>
            </w:r>
          </w:p>
        </w:tc>
        <w:tc>
          <w:tcPr>
            <w:tcW w:type="dxa" w:w="1458"/>
            <w:vMerge w:val="restart"/>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pPr>
            <w:r>
              <w:rPr>
                <w:rFonts w:ascii="Arial" w:cs="Arial" w:eastAsia="Arial" w:hAnsi="Arial"/>
                <w:sz w:val="16"/>
                <w:szCs w:val="16"/>
              </w:rPr>
              <w:t xml:space="preserve">Técnicas: observación estructurada y análisis documental.</w:t>
            </w:r>
          </w:p>
          <w:p>
            <w:pPr>
              <w:spacing w:after="20"/>
            </w:pPr>
            <w:r>
              <w:rPr>
                <w:rFonts w:ascii="Arial" w:cs="Arial" w:eastAsia="Arial" w:hAnsi="Arial"/>
                <w:sz w:val="16"/>
                <w:szCs w:val="16"/>
              </w:rPr>
              <w:t xml:space="preserve">Instrumentos: ficha de registro de tiempos y ficha de registro de gestión de pacientes, validadas por juicio de tres expertos.</w:t>
            </w:r>
          </w:p>
          <w:p>
            <w:pPr>
              <w:spacing w:after="20"/>
            </w:pPr>
            <w:r>
              <w:rPr>
                <w:rFonts w:ascii="Arial" w:cs="Arial" w:eastAsia="Arial" w:hAnsi="Arial"/>
                <w:sz w:val="16"/>
                <w:szCs w:val="16"/>
              </w:rPr>
              <w:t xml:space="preserve">Análisis: estadística descriptiva; Shapiro-Wilk; t de Student para muestras relacionadas o Wilcoxon (α = 0,05, unilateral); IBM SPSS 29.</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PE1: ¿Cómo influye un sistema web con chatbot en el tiempo promedio de registro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OE1: Determinar la influencia de un sistema web con chatbot en el tiempo promedio de registro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HE1: El sistema web con chatbot mejora el tiempo promedio de registro para la gestión de pacientes en una fundación oncológica privada de Lima, 2026.</w:t>
            </w: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D1: Registro de pacientes</w:t>
            </w:r>
          </w:p>
          <w:p>
            <w:pPr>
              <w:spacing w:after="20"/>
            </w:pPr>
            <w:r>
              <w:rPr>
                <w:rFonts w:ascii="Arial" w:cs="Arial" w:eastAsia="Arial" w:hAnsi="Arial"/>
                <w:sz w:val="16"/>
                <w:szCs w:val="16"/>
              </w:rPr>
              <w:t xml:space="preserve">Indicador: tiempo promedio de registro (TPR, min)</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rPr>
          <w:cantSplit/>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PE2: ¿Cómo influye un sistema web con chatbot en la tasa de ausentismo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OE2: Determinar la influencia de un sistema web con chatbot en la tasa de ausentismo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HE2: El sistema web con chatbot disminuye la tasa de ausentismo para la gestión de pacientes en una fundación oncológica privada de Lima, 2026.</w:t>
            </w: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D2: Agendamiento de citas médicas</w:t>
            </w:r>
          </w:p>
          <w:p>
            <w:pPr>
              <w:spacing w:after="20"/>
            </w:pPr>
            <w:r>
              <w:rPr>
                <w:rFonts w:ascii="Arial" w:cs="Arial" w:eastAsia="Arial" w:hAnsi="Arial"/>
                <w:sz w:val="16"/>
                <w:szCs w:val="16"/>
              </w:rPr>
              <w:t xml:space="preserve">Indicador: tasa de ausentismo (TA, %)</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rPr>
          <w:cantSplit/>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PE3: ¿Cómo influye un sistema web con chatbot en el nivel de consultas atendidas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OE3: Determinar la influencia de un sistema web con chatbot en el nivel de consultas atendidas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HE3: El sistema web con chatbot mejora el nivel de consultas atendidas para la gestión de pacientes en una fundación oncológica privada de Lima, 2026.</w:t>
            </w: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D3: Eficacia de la atención</w:t>
            </w:r>
          </w:p>
          <w:p>
            <w:pPr>
              <w:spacing w:after="20"/>
            </w:pPr>
            <w:r>
              <w:rPr>
                <w:rFonts w:ascii="Arial" w:cs="Arial" w:eastAsia="Arial" w:hAnsi="Arial"/>
                <w:sz w:val="16"/>
                <w:szCs w:val="16"/>
              </w:rPr>
              <w:t xml:space="preserve">Indicador: nivel de consultas atendidas (NCA, %)</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bl>
    <w:p>
      <w:pPr>
        <w:spacing w:after="120" w:before="0" w:line="240"/>
        <w:jc w:val="both"/>
      </w:pPr>
      <w:r>
        <w:rPr>
          <w:rFonts w:ascii="Arial" w:cs="Arial" w:eastAsia="Arial" w:hAnsi="Arial"/>
          <w:sz w:val="20"/>
          <w:szCs w:val="20"/>
        </w:rPr>
        <w:t xml:space="preserve">Fuente: elaboración propia.</w:t>
      </w:r>
    </w:p>
    <w:p>
      <w:r>
        <w:br w:type="page"/>
      </w:r>
    </w:p>
    <w:p>
      <w:pPr>
        <w:pStyle w:val="Heading2"/>
        <w:spacing w:after="160" w:before="120" w:line="360"/>
      </w:pPr>
      <w:r>
        <w:rPr>
          <w:rFonts w:ascii="Arial" w:cs="Arial" w:eastAsia="Arial" w:hAnsi="Arial"/>
          <w:b/>
          <w:bCs/>
          <w:sz w:val="24"/>
          <w:szCs w:val="24"/>
        </w:rPr>
        <w:t xml:space="preserve">Anexo 10. Reporte de similitud del software Turnitin</w:t>
      </w:r>
    </w:p>
    <w:p>
      <w:pPr>
        <w:spacing w:after="120" w:before="0" w:line="360"/>
        <w:jc w:val="both"/>
      </w:pPr>
      <w:r>
        <w:rPr>
          <w:rFonts w:ascii="Arial" w:cs="Arial" w:eastAsia="Arial" w:hAnsi="Arial"/>
          <w:sz w:val="24"/>
          <w:szCs w:val="24"/>
          <w:highlight w:val="yellow"/>
        </w:rPr>
        <w:t xml:space="preserve">Insertar el reporte generado por el asesor.</w:t>
      </w:r>
    </w:p>
    <w:sectPr>
      <w:footerReference w:type="default" r:id="rId12"/>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outlineLvl w:val="0"/>
    </w:pPr>
    <w:rPr>
      <w:rFonts w:ascii="Arial" w:cs="Arial" w:eastAsia="Arial" w:hAnsi="Arial"/>
      <w:b/>
      <w:bCs/>
      <w:color w:val="000000"/>
      <w:sz w:val="24"/>
      <w:szCs w:val="24"/>
    </w:rPr>
  </w:style>
  <w:style w:type="paragraph" w:styleId="Heading2">
    <w:name w:val="Heading 2"/>
    <w:basedOn w:val="Normal"/>
    <w:next w:val="Normal"/>
    <w:qFormat/>
    <w:pPr>
      <w:spacing w:after="160"/>
      <w:outlineLvl w:val="1"/>
    </w:pPr>
    <w:rPr>
      <w:rFonts w:ascii="Arial" w:cs="Arial" w:eastAsia="Arial" w:hAnsi="Arial"/>
      <w:b/>
      <w:bCs/>
      <w:color w:val="000000"/>
      <w:sz w:val="24"/>
      <w:szCs w:val="24"/>
    </w:rPr>
  </w:style>
  <w:style w:type="paragraph" w:styleId="TablaTitulo">
    <w:name w:val="TablaTitulo"/>
    <w:basedOn w:val="Normal"/>
    <w:next w:val="Normal"/>
    <w:qFormat/>
    <w:rPr>
      <w:rFonts w:ascii="Arial" w:cs="Arial" w:eastAsia="Arial" w:hAnsi="Arial"/>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web con chatbot para la gestión de pacientes en una fundación oncológica privada de Lima, 2026</dc:title>
  <dc:creator>Arnao Fretel, J.; Davila Anchante, E. M.</dc:creator>
  <cp:lastModifiedBy>Un-named</cp:lastModifiedBy>
  <cp:revision>1</cp:revision>
  <dcterms:created xsi:type="dcterms:W3CDTF">2026-09-26T21:43:16.419Z</dcterms:created>
  <dcterms:modified xsi:type="dcterms:W3CDTF">2026-09-26T21:43:16.419Z</dcterms:modified>
</cp:coreProperties>
</file>

<file path=docProps/custom.xml><?xml version="1.0" encoding="utf-8"?>
<Properties xmlns="http://schemas.openxmlformats.org/officeDocument/2006/custom-properties" xmlns:vt="http://schemas.openxmlformats.org/officeDocument/2006/docPropsVTypes"/>
</file>