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28"/>
          <w:szCs w:val="28"/>
        </w:rPr>
        <w:t xml:space="preserve">SESIÓN 7 — METODOLOGÍA</w:t>
      </w:r>
    </w:p>
    <w:p>
      <w:pPr>
        <w:pBdr>
          <w:bottom w:val="single" w:color="1F3864" w:sz="8" w:space="4"/>
        </w:pBdr>
        <w:spacing w:after="180"/>
        <w:jc w:val="center"/>
      </w:pPr>
      <w:r>
        <w:rPr>
          <w:rFonts w:ascii="Arial" w:cs="Arial" w:eastAsia="Arial" w:hAnsi="Arial"/>
          <w:color w:val="555555"/>
          <w:sz w:val="18"/>
          <w:szCs w:val="18"/>
        </w:rPr>
        <w:t xml:space="preserve">Sistema web con chatbot para la gestión de pacientes en una fundación oncológica privada de Lima, 2026 · 26/09/2026</w:t>
      </w:r>
    </w:p>
    <w:p>
      <w:pPr>
        <w:pStyle w:val="Heading1"/>
        <w:spacing w:after="110" w:before="220"/>
      </w:pPr>
      <w:r>
        <w:rPr>
          <w:rFonts w:ascii="Arial" w:cs="Arial" w:eastAsia="Arial" w:hAnsi="Arial"/>
          <w:b/>
          <w:bCs/>
          <w:color w:val="1F3864"/>
          <w:sz w:val="25"/>
          <w:szCs w:val="25"/>
        </w:rPr>
        <w:t xml:space="preserve">1. Punto de partida y decisiones de los autores</w:t>
      </w:r>
    </w:p>
    <w:p>
      <w:pPr>
        <w:spacing w:after="100" w:line="290"/>
        <w:jc w:val="both"/>
      </w:pPr>
      <w:r>
        <w:rPr>
          <w:rFonts w:ascii="Arial" w:cs="Arial" w:eastAsia="Arial" w:hAnsi="Arial"/>
          <w:sz w:val="21"/>
          <w:szCs w:val="21"/>
        </w:rPr>
        <w:t xml:space="preserve">De la Sesión 6 quedaron pendientes el emparejamiento de sesiones, el estado del pretest y la existencia de un piloto. Los autores informaron que </w:t>
      </w:r>
      <w:r>
        <w:rPr>
          <w:rFonts w:ascii="Arial" w:cs="Arial" w:eastAsia="Arial" w:hAnsi="Arial"/>
          <w:b/>
          <w:bCs/>
          <w:sz w:val="21"/>
          <w:szCs w:val="21"/>
        </w:rPr>
        <w:t xml:space="preserve">el pretest se realizó en agosto y el postest se realiza en setiembre</w:t>
      </w:r>
      <w:r>
        <w:rPr>
          <w:rFonts w:ascii="Arial" w:cs="Arial" w:eastAsia="Arial" w:hAnsi="Arial"/>
          <w:sz w:val="21"/>
          <w:szCs w:val="21"/>
        </w:rPr>
        <w:t xml:space="preserve">, con 13 sesiones de lunes, miércoles y viernes en cada etapa, y que </w:t>
      </w:r>
      <w:r>
        <w:rPr>
          <w:rFonts w:ascii="Arial" w:cs="Arial" w:eastAsia="Arial" w:hAnsi="Arial"/>
          <w:b/>
          <w:bCs/>
          <w:sz w:val="21"/>
          <w:szCs w:val="21"/>
        </w:rPr>
        <w:t xml:space="preserve">no se hizo piloto</w:t>
      </w:r>
      <w:r>
        <w:rPr>
          <w:rFonts w:ascii="Arial" w:cs="Arial" w:eastAsia="Arial" w:hAnsi="Arial"/>
          <w:sz w:val="21"/>
          <w:szCs w:val="21"/>
        </w:rPr>
        <w:t xml:space="preserve">. Agosto y setiembre de 2026 tienen exactamente 13 lunes, miércoles y viernes, sin feriados en esos días, por lo que el calendario queda determinado.</w:t>
      </w:r>
    </w:p>
    <w:p>
      <w:pPr>
        <w:spacing w:after="100" w:line="290"/>
        <w:jc w:val="both"/>
      </w:pPr>
      <w:r>
        <w:rPr>
          <w:rFonts w:ascii="Arial" w:cs="Arial" w:eastAsia="Arial" w:hAnsi="Arial"/>
          <w:sz w:val="21"/>
          <w:szCs w:val="21"/>
        </w:rPr>
        <w:t xml:space="preserve">La opción elegida inicialmente (trasladar el postest al 7/10–4/11) ya no es aplicable. Se adoptó el criterio equivalente que conserva la preferencia por comparar el mismo día de la semana: emparejamiento por día y orden de aparición. </w:t>
      </w:r>
      <w:r>
        <w:rPr>
          <w:rFonts w:ascii="Arial" w:cs="Arial" w:eastAsia="Arial" w:hAnsi="Arial"/>
          <w:b/>
          <w:bCs/>
          <w:sz w:val="21"/>
          <w:szCs w:val="21"/>
        </w:rPr>
        <w:t xml:space="preserve">Esta decisión conviene confirmarla con el asesor.</w:t>
      </w:r>
    </w:p>
    <w:p>
      <w:pPr>
        <w:pStyle w:val="Heading1"/>
        <w:spacing w:after="110" w:before="220"/>
      </w:pPr>
      <w:r>
        <w:rPr>
          <w:rFonts w:ascii="Arial" w:cs="Arial" w:eastAsia="Arial" w:hAnsi="Arial"/>
          <w:b/>
          <w:bCs/>
          <w:color w:val="1F3864"/>
          <w:sz w:val="25"/>
          <w:szCs w:val="25"/>
        </w:rPr>
        <w:t xml:space="preserve">2. Pares de sesiones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00"/>
        <w:gridCol w:w="2526"/>
      </w:tblGrid>
      <w:tr>
        <w:trPr>
          <w:cantSplit/>
          <w:tblHeader/>
        </w:trPr>
        <w:tc>
          <w:tcPr>
            <w:tcW w:type="dxa" w:w="9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5"/>
            </w:pPr>
            <w:r>
              <w:rPr>
                <w:rFonts w:ascii="Arial" w:cs="Arial" w:eastAsia="Arial" w:hAnsi="Arial"/>
                <w:b/>
                <w:bCs/>
                <w:sz w:val="17"/>
                <w:szCs w:val="17"/>
              </w:rPr>
              <w:t xml:space="preserve">Par</w:t>
            </w:r>
          </w:p>
        </w:tc>
        <w:tc>
          <w:tcPr>
            <w:tcW w:type="dxa" w:w="28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5"/>
            </w:pPr>
            <w:r>
              <w:rPr>
                <w:rFonts w:ascii="Arial" w:cs="Arial" w:eastAsia="Arial" w:hAnsi="Arial"/>
                <w:b/>
                <w:bCs/>
                <w:sz w:val="17"/>
                <w:szCs w:val="17"/>
              </w:rPr>
              <w:t xml:space="preserve">Sesión pretest</w:t>
            </w:r>
          </w:p>
        </w:tc>
        <w:tc>
          <w:tcPr>
            <w:tcW w:type="dxa" w:w="28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5"/>
            </w:pPr>
            <w:r>
              <w:rPr>
                <w:rFonts w:ascii="Arial" w:cs="Arial" w:eastAsia="Arial" w:hAnsi="Arial"/>
                <w:b/>
                <w:bCs/>
                <w:sz w:val="17"/>
                <w:szCs w:val="17"/>
              </w:rPr>
              <w:t xml:space="preserve">Sesión postest</w:t>
            </w:r>
          </w:p>
        </w:tc>
        <w:tc>
          <w:tcPr>
            <w:tcW w:type="dxa" w:w="2526"/>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5"/>
            </w:pPr>
            <w:r>
              <w:rPr>
                <w:rFonts w:ascii="Arial" w:cs="Arial" w:eastAsia="Arial" w:hAnsi="Arial"/>
                <w:b/>
                <w:bCs/>
                <w:sz w:val="17"/>
                <w:szCs w:val="17"/>
              </w:rPr>
              <w:t xml:space="preserve">Mismo día</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1</w:t>
            </w:r>
          </w:p>
        </w:tc>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lun 03/08</w:t>
            </w:r>
          </w:p>
        </w:tc>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lun 07/09</w:t>
            </w:r>
          </w:p>
        </w:tc>
        <w:tc>
          <w:tcPr>
            <w:tcW w:type="dxa" w:w="252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Sí</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2</w:t>
            </w:r>
          </w:p>
        </w:tc>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mié 05/08</w:t>
            </w:r>
          </w:p>
        </w:tc>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mié 02/09</w:t>
            </w:r>
          </w:p>
        </w:tc>
        <w:tc>
          <w:tcPr>
            <w:tcW w:type="dxa" w:w="252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Sí</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3</w:t>
            </w:r>
          </w:p>
        </w:tc>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vie 07/08</w:t>
            </w:r>
          </w:p>
        </w:tc>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vie 04/09</w:t>
            </w:r>
          </w:p>
        </w:tc>
        <w:tc>
          <w:tcPr>
            <w:tcW w:type="dxa" w:w="252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Sí</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4</w:t>
            </w:r>
          </w:p>
        </w:tc>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lun 10/08</w:t>
            </w:r>
          </w:p>
        </w:tc>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lun 14/09</w:t>
            </w:r>
          </w:p>
        </w:tc>
        <w:tc>
          <w:tcPr>
            <w:tcW w:type="dxa" w:w="252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Sí</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5</w:t>
            </w:r>
          </w:p>
        </w:tc>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mié 12/08</w:t>
            </w:r>
          </w:p>
        </w:tc>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mié 09/09</w:t>
            </w:r>
          </w:p>
        </w:tc>
        <w:tc>
          <w:tcPr>
            <w:tcW w:type="dxa" w:w="252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Sí</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6</w:t>
            </w:r>
          </w:p>
        </w:tc>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vie 14/08</w:t>
            </w:r>
          </w:p>
        </w:tc>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vie 11/09</w:t>
            </w:r>
          </w:p>
        </w:tc>
        <w:tc>
          <w:tcPr>
            <w:tcW w:type="dxa" w:w="252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Sí</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7</w:t>
            </w:r>
          </w:p>
        </w:tc>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lun 17/08</w:t>
            </w:r>
          </w:p>
        </w:tc>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lun 21/09</w:t>
            </w:r>
          </w:p>
        </w:tc>
        <w:tc>
          <w:tcPr>
            <w:tcW w:type="dxa" w:w="252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Sí</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8</w:t>
            </w:r>
          </w:p>
        </w:tc>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mié 19/08</w:t>
            </w:r>
          </w:p>
        </w:tc>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mié 16/09</w:t>
            </w:r>
          </w:p>
        </w:tc>
        <w:tc>
          <w:tcPr>
            <w:tcW w:type="dxa" w:w="252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Sí</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9</w:t>
            </w:r>
          </w:p>
        </w:tc>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vie 21/08</w:t>
            </w:r>
          </w:p>
        </w:tc>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vie 18/09</w:t>
            </w:r>
          </w:p>
        </w:tc>
        <w:tc>
          <w:tcPr>
            <w:tcW w:type="dxa" w:w="252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Sí</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10</w:t>
            </w:r>
          </w:p>
        </w:tc>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lun 24/08</w:t>
            </w:r>
          </w:p>
        </w:tc>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lun 28/09</w:t>
            </w:r>
          </w:p>
        </w:tc>
        <w:tc>
          <w:tcPr>
            <w:tcW w:type="dxa" w:w="252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Sí</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11</w:t>
            </w:r>
          </w:p>
        </w:tc>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mié 26/08</w:t>
            </w:r>
          </w:p>
        </w:tc>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mié 23/09</w:t>
            </w:r>
          </w:p>
        </w:tc>
        <w:tc>
          <w:tcPr>
            <w:tcW w:type="dxa" w:w="252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Sí</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12</w:t>
            </w:r>
          </w:p>
        </w:tc>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vie 28/08</w:t>
            </w:r>
          </w:p>
        </w:tc>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vie 25/09</w:t>
            </w:r>
          </w:p>
        </w:tc>
        <w:tc>
          <w:tcPr>
            <w:tcW w:type="dxa" w:w="252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Sí</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13</w:t>
            </w:r>
          </w:p>
        </w:tc>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lun 31/08</w:t>
            </w:r>
          </w:p>
        </w:tc>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mié 30/09</w:t>
            </w:r>
          </w:p>
        </w:tc>
        <w:tc>
          <w:tcPr>
            <w:tcW w:type="dxa" w:w="2526"/>
            <w:tcBorders>
              <w:top w:val="single" w:color="999999" w:sz="4"/>
              <w:left w:val="single" w:color="999999" w:sz="4"/>
              <w:bottom w:val="single" w:color="999999" w:sz="4"/>
              <w:right w:val="single" w:color="999999" w:sz="4"/>
            </w:tcBorders>
            <w:shd w:fill="FCE8B2" w:color="auto" w:val="clear"/>
            <w:tcMar>
              <w:top w:type="dxa" w:w="40"/>
              <w:left w:type="dxa" w:w="70"/>
              <w:bottom w:type="dxa" w:w="40"/>
              <w:right w:type="dxa" w:w="70"/>
            </w:tcMar>
          </w:tcPr>
          <w:p>
            <w:pPr>
              <w:spacing w:after="15"/>
            </w:pPr>
            <w:r>
              <w:rPr>
                <w:rFonts w:ascii="Arial" w:cs="Arial" w:eastAsia="Arial" w:hAnsi="Arial"/>
                <w:b w:val="false"/>
                <w:bCs w:val="false"/>
                <w:sz w:val="17"/>
                <w:szCs w:val="17"/>
              </w:rPr>
              <w:t xml:space="preserve">No (se excluye en la sensibilidad)</w:t>
            </w:r>
          </w:p>
        </w:tc>
      </w:tr>
    </w:tbl>
    <w:p>
      <w:pPr>
        <w:pStyle w:val="Heading1"/>
        <w:spacing w:after="110" w:before="220"/>
      </w:pPr>
      <w:r>
        <w:rPr>
          <w:rFonts w:ascii="Arial" w:cs="Arial" w:eastAsia="Arial" w:hAnsi="Arial"/>
          <w:b/>
          <w:bCs/>
          <w:color w:val="1F3864"/>
          <w:sz w:val="25"/>
          <w:szCs w:val="25"/>
        </w:rPr>
        <w:t xml:space="preserve">3. Cambios aplicados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126"/>
      </w:tblGrid>
      <w:tr>
        <w:trPr>
          <w:cantSplit/>
          <w:tblHeader/>
        </w:trPr>
        <w:tc>
          <w:tcPr>
            <w:tcW w:type="dxa" w:w="19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5"/>
            </w:pPr>
            <w:r>
              <w:rPr>
                <w:rFonts w:ascii="Arial" w:cs="Arial" w:eastAsia="Arial" w:hAnsi="Arial"/>
                <w:b/>
                <w:bCs/>
                <w:sz w:val="17"/>
                <w:szCs w:val="17"/>
              </w:rPr>
              <w:t xml:space="preserve">Elemento</w:t>
            </w:r>
          </w:p>
        </w:tc>
        <w:tc>
          <w:tcPr>
            <w:tcW w:type="dxa" w:w="30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5"/>
            </w:pPr>
            <w:r>
              <w:rPr>
                <w:rFonts w:ascii="Arial" w:cs="Arial" w:eastAsia="Arial" w:hAnsi="Arial"/>
                <w:b/>
                <w:bCs/>
                <w:sz w:val="17"/>
                <w:szCs w:val="17"/>
              </w:rPr>
              <w:t xml:space="preserve">Antes</w:t>
            </w:r>
          </w:p>
        </w:tc>
        <w:tc>
          <w:tcPr>
            <w:tcW w:type="dxa" w:w="4126"/>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5"/>
            </w:pPr>
            <w:r>
              <w:rPr>
                <w:rFonts w:ascii="Arial" w:cs="Arial" w:eastAsia="Arial" w:hAnsi="Arial"/>
                <w:b/>
                <w:bCs/>
                <w:sz w:val="17"/>
                <w:szCs w:val="17"/>
              </w:rPr>
              <w:t xml:space="preserve">Ahora</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Calendario</w:t>
            </w:r>
          </w:p>
        </w:tc>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Pretest 02–30/09 y postest 02–30/10</w:t>
            </w:r>
          </w:p>
        </w:tc>
        <w:tc>
          <w:tcPr>
            <w:tcW w:type="dxa" w:w="412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Pretest 03–31/08/2026 y postest 02–30/09/2026 (13 + 13, lun/mié/vie), según lo informado por los autores</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Emparejamiento</w:t>
            </w:r>
          </w:p>
        </w:tc>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Orden cronológico (ningún par coincidía en el día)</w:t>
            </w:r>
          </w:p>
        </w:tc>
        <w:tc>
          <w:tcPr>
            <w:tcW w:type="dxa" w:w="412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Por día de la semana y orden de aparición: 12 pares con el mismo día y 1 par residual</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Análisis</w:t>
            </w:r>
          </w:p>
        </w:tc>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Contraste sobre 13 pares</w:t>
            </w:r>
          </w:p>
        </w:tc>
        <w:tc>
          <w:tcPr>
            <w:tcW w:type="dxa" w:w="412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Se añade un análisis de sensibilidad que excluye el par residual</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Confiabilidad</w:t>
            </w:r>
          </w:p>
        </w:tc>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Mencionaba un piloto previo</w:t>
            </w:r>
          </w:p>
        </w:tc>
        <w:tc>
          <w:tcPr>
            <w:tcW w:type="dxa" w:w="412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Se retira el piloto (no se realizó); la confiabilidad se sustenta en las definiciones operacionales, las reglas comunes y la revisión de integridad</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Amenazas a la validez</w:t>
            </w:r>
          </w:p>
        </w:tc>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Estacionalidad setiembre–octubre</w:t>
            </w:r>
          </w:p>
        </w:tc>
        <w:tc>
          <w:tcPr>
            <w:tcW w:type="dxa" w:w="412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Estacionalidad agosto–setiembre</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Procedimiento</w:t>
            </w:r>
          </w:p>
        </w:tc>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Implementación sin fecha</w:t>
            </w:r>
          </w:p>
        </w:tc>
        <w:tc>
          <w:tcPr>
            <w:tcW w:type="dxa" w:w="412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Espacio resaltado para la fecha real de puesta en funcionamiento y capacitación</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Anexo 6</w:t>
            </w:r>
          </w:p>
        </w:tc>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Datos de setiembre y octubre</w:t>
            </w:r>
          </w:p>
        </w:tc>
        <w:tc>
          <w:tcPr>
            <w:tcW w:type="dxa" w:w="412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Datos de agosto y setiembre</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Anexo 7</w:t>
            </w:r>
          </w:p>
        </w:tc>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Calendario setiembre/octubre</w:t>
            </w:r>
          </w:p>
        </w:tc>
        <w:tc>
          <w:tcPr>
            <w:tcW w:type="dxa" w:w="412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Calendario agosto/setiembre con los 13 pares</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Excel v4</w:t>
            </w:r>
          </w:p>
        </w:tc>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Fechas setiembre/octubre</w:t>
            </w:r>
          </w:p>
        </w:tc>
        <w:tc>
          <w:tcPr>
            <w:tcW w:type="dxa" w:w="412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Fechas reales, pares por día de la semana y columna S que indica si el par coincide en el día</w:t>
            </w:r>
          </w:p>
        </w:tc>
      </w:tr>
    </w:tbl>
    <w:p>
      <w:pPr>
        <w:pStyle w:val="Heading1"/>
        <w:spacing w:after="110" w:before="220"/>
      </w:pPr>
      <w:r>
        <w:rPr>
          <w:rFonts w:ascii="Arial" w:cs="Arial" w:eastAsia="Arial" w:hAnsi="Arial"/>
          <w:b/>
          <w:bCs/>
          <w:color w:val="1F3864"/>
          <w:sz w:val="25"/>
          <w:szCs w:val="25"/>
        </w:rPr>
        <w:t xml:space="preserve">4. Revisión con la rúbrica del informe (criterios 11 a 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cantSplit/>
          <w:tblHeader/>
        </w:trPr>
        <w:tc>
          <w:tcPr>
            <w:tcW w:type="dxa" w:w="38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5"/>
            </w:pPr>
            <w:r>
              <w:rPr>
                <w:rFonts w:ascii="Arial" w:cs="Arial" w:eastAsia="Arial" w:hAnsi="Arial"/>
                <w:b/>
                <w:bCs/>
                <w:sz w:val="17"/>
                <w:szCs w:val="17"/>
              </w:rPr>
              <w:t xml:space="preserve">Criterio</w:t>
            </w:r>
          </w:p>
        </w:tc>
        <w:tc>
          <w:tcPr>
            <w:tcW w:type="dxa" w:w="5226"/>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5"/>
            </w:pPr>
            <w:r>
              <w:rPr>
                <w:rFonts w:ascii="Arial" w:cs="Arial" w:eastAsia="Arial" w:hAnsi="Arial"/>
                <w:b/>
                <w:bCs/>
                <w:sz w:val="17"/>
                <w:szCs w:val="17"/>
              </w:rPr>
              <w:t xml:space="preserve">Situación en el informe v8</w:t>
            </w:r>
          </w:p>
        </w:tc>
      </w:tr>
      <w:tr>
        <w:trPr>
          <w:cantSplit/>
          <w:tblHeader w:val="false"/>
        </w:trPr>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11. Prosa, sin subtítulos, tercera persona, pasado; tipo, enfoque, diseño y alcance</w:t>
            </w:r>
          </w:p>
        </w:tc>
        <w:tc>
          <w:tcPr>
            <w:tcW w:type="dxa" w:w="522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Cumple: aplicada (Manual de Oslo), cuantitativa, preexperimental con esquema, explicativa con amenazas declaradas.</w:t>
            </w:r>
          </w:p>
        </w:tc>
      </w:tr>
      <w:tr>
        <w:trPr>
          <w:cantSplit/>
          <w:tblHeader w:val="false"/>
        </w:trPr>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12. Variables y dimensiones definidas</w:t>
            </w:r>
          </w:p>
        </w:tc>
        <w:tc>
          <w:tcPr>
            <w:tcW w:type="dxa" w:w="522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Cumple: VI con tres módulos; VD con tres dimensiones nombradas y sus fórmulas.</w:t>
            </w:r>
          </w:p>
        </w:tc>
      </w:tr>
      <w:tr>
        <w:trPr>
          <w:cantSplit/>
          <w:tblHeader w:val="false"/>
        </w:trPr>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13. Unidad de análisis, población, criterios, muestra y muestreo</w:t>
            </w:r>
          </w:p>
        </w:tc>
        <w:tc>
          <w:tcPr>
            <w:tcW w:type="dxa" w:w="522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Cumple: unidad de análisis por indicador, población de procesos, población accesible de 32, muestra de referencia de 30, conveniencia.</w:t>
            </w:r>
          </w:p>
        </w:tc>
      </w:tr>
      <w:tr>
        <w:trPr>
          <w:cantSplit/>
          <w:tblHeader w:val="false"/>
        </w:trPr>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14. Técnicas, instrumentos, validación y análisis; aspectos éticos</w:t>
            </w:r>
          </w:p>
        </w:tc>
        <w:tc>
          <w:tcPr>
            <w:tcW w:type="dxa" w:w="522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5"/>
            </w:pPr>
            <w:r>
              <w:rPr>
                <w:rFonts w:ascii="Arial" w:cs="Arial" w:eastAsia="Arial" w:hAnsi="Arial"/>
                <w:b w:val="false"/>
                <w:bCs w:val="false"/>
                <w:sz w:val="17"/>
                <w:szCs w:val="17"/>
              </w:rPr>
              <w:t xml:space="preserve">Cumple en forma. </w:t>
            </w:r>
            <w:r>
              <w:rPr>
                <w:rFonts w:ascii="Arial" w:cs="Arial" w:eastAsia="Arial" w:hAnsi="Arial"/>
                <w:b/>
                <w:bCs/>
                <w:sz w:val="17"/>
                <w:szCs w:val="17"/>
              </w:rPr>
              <w:t xml:space="preserve">Pendiente de datos:</w:t>
            </w:r>
            <w:r>
              <w:rPr>
                <w:rFonts w:ascii="Arial" w:cs="Arial" w:eastAsia="Arial" w:hAnsi="Arial"/>
                <w:b w:val="false"/>
                <w:bCs w:val="false"/>
                <w:sz w:val="17"/>
                <w:szCs w:val="17"/>
              </w:rPr>
              <w:t xml:space="preserve"> resultado de la validación de los tres jueces, fecha de implementación y declaración de herramientas de IA.</w:t>
            </w:r>
          </w:p>
        </w:tc>
      </w:tr>
    </w:tbl>
    <w:p>
      <w:pPr>
        <w:pStyle w:val="Heading1"/>
        <w:spacing w:after="110" w:before="220"/>
      </w:pPr>
      <w:r>
        <w:rPr>
          <w:rFonts w:ascii="Arial" w:cs="Arial" w:eastAsia="Arial" w:hAnsi="Arial"/>
          <w:b/>
          <w:bCs/>
          <w:color w:val="1F3864"/>
          <w:sz w:val="25"/>
          <w:szCs w:val="25"/>
        </w:rPr>
        <w:t xml:space="preserve">5. Alertas de integridad antes de entregar</w:t>
      </w:r>
    </w:p>
    <w:p>
      <w:pPr>
        <w:spacing w:after="100" w:line="290"/>
        <w:jc w:val="both"/>
      </w:pPr>
      <w:r>
        <w:rPr>
          <w:rFonts w:ascii="Arial" w:cs="Arial" w:eastAsia="Arial" w:hAnsi="Arial"/>
          <w:sz w:val="21"/>
          <w:szCs w:val="21"/>
        </w:rPr>
        <w:t xml:space="preserve">Como la metodología está redactada en pasado, cada afirmación debe corresponder a lo que efectivamente ocurrió. Con el nuevo calendario, conviene confirmar lo siguiente:</w:t>
      </w:r>
    </w:p>
    <w:p>
      <w:pPr>
        <w:pStyle w:val="ListParagraph"/>
        <w:numPr>
          <w:ilvl w:val="0"/>
          <w:numId w:val="2"/>
        </w:numPr>
        <w:spacing w:after="70" w:line="280"/>
      </w:pPr>
      <w:r>
        <w:rPr>
          <w:rFonts w:ascii="Arial" w:cs="Arial" w:eastAsia="Arial" w:hAnsi="Arial"/>
          <w:b/>
          <w:bCs/>
          <w:sz w:val="21"/>
          <w:szCs w:val="21"/>
        </w:rPr>
        <w:t xml:space="preserve">Consentimientos y autorización:</w:t>
      </w:r>
      <w:r>
        <w:rPr>
          <w:rFonts w:ascii="Arial" w:cs="Arial" w:eastAsia="Arial" w:hAnsi="Arial"/>
          <w:sz w:val="21"/>
          <w:szCs w:val="21"/>
        </w:rPr>
        <w:t xml:space="preserve"> ¿se firmaron antes del 3 de agosto, cuando empezó la recolección? Si se firmaron después, el texto debe decirlo así.</w:t>
      </w:r>
    </w:p>
    <w:p>
      <w:pPr>
        <w:pStyle w:val="ListParagraph"/>
        <w:numPr>
          <w:ilvl w:val="0"/>
          <w:numId w:val="2"/>
        </w:numPr>
        <w:spacing w:after="70" w:line="280"/>
      </w:pPr>
      <w:r>
        <w:rPr>
          <w:rFonts w:ascii="Arial" w:cs="Arial" w:eastAsia="Arial" w:hAnsi="Arial"/>
          <w:b/>
          <w:bCs/>
          <w:sz w:val="21"/>
          <w:szCs w:val="21"/>
        </w:rPr>
        <w:t xml:space="preserve">Validación por expertos:</w:t>
      </w:r>
      <w:r>
        <w:rPr>
          <w:rFonts w:ascii="Arial" w:cs="Arial" w:eastAsia="Arial" w:hAnsi="Arial"/>
          <w:sz w:val="21"/>
          <w:szCs w:val="21"/>
        </w:rPr>
        <w:t xml:space="preserve"> el informe dice que los instrumentos se validaron con tres jueces. Si la validación se hizo después de recolectar los datos del pretest, debe declararse con su fecha real, no presentarse como previa.</w:t>
      </w:r>
    </w:p>
    <w:p>
      <w:pPr>
        <w:pStyle w:val="ListParagraph"/>
        <w:numPr>
          <w:ilvl w:val="0"/>
          <w:numId w:val="2"/>
        </w:numPr>
        <w:spacing w:after="70" w:line="280"/>
      </w:pPr>
      <w:r>
        <w:rPr>
          <w:rFonts w:ascii="Arial" w:cs="Arial" w:eastAsia="Arial" w:hAnsi="Arial"/>
          <w:b/>
          <w:bCs/>
          <w:sz w:val="21"/>
          <w:szCs w:val="21"/>
        </w:rPr>
        <w:t xml:space="preserve">Implementación del sistema:</w:t>
      </w:r>
      <w:r>
        <w:rPr>
          <w:rFonts w:ascii="Arial" w:cs="Arial" w:eastAsia="Arial" w:hAnsi="Arial"/>
          <w:sz w:val="21"/>
          <w:szCs w:val="21"/>
        </w:rPr>
        <w:t xml:space="preserve"> entre la última sesión del pretest (31/08) y la primera del postest (02/09) solo hay un día. Hay que confirmar la fecha real de puesta en funcionamiento y de la capacitación.</w:t>
      </w:r>
    </w:p>
    <w:p>
      <w:pPr>
        <w:pStyle w:val="ListParagraph"/>
        <w:numPr>
          <w:ilvl w:val="0"/>
          <w:numId w:val="2"/>
        </w:numPr>
        <w:spacing w:after="70" w:line="280"/>
      </w:pPr>
      <w:r>
        <w:rPr>
          <w:rFonts w:ascii="Arial" w:cs="Arial" w:eastAsia="Arial" w:hAnsi="Arial"/>
          <w:b/>
          <w:bCs/>
          <w:sz w:val="21"/>
          <w:szCs w:val="21"/>
        </w:rPr>
        <w:t xml:space="preserve">Instrumento con el que se registró:</w:t>
      </w:r>
      <w:r>
        <w:rPr>
          <w:rFonts w:ascii="Arial" w:cs="Arial" w:eastAsia="Arial" w:hAnsi="Arial"/>
          <w:sz w:val="21"/>
          <w:szCs w:val="21"/>
        </w:rPr>
        <w:t xml:space="preserve"> las listas desplegables del Excel v2 tenían fechas de setiembre y octubre, por lo que los datos de agosto no pudieron cargarse con esa validación. ¿Dónde están registrados los datos reales del pretest? Se necesitarán para la Sesión 13.</w:t>
      </w:r>
    </w:p>
    <w:p>
      <w:pPr>
        <w:pStyle w:val="Heading1"/>
        <w:spacing w:after="110" w:before="220"/>
      </w:pPr>
      <w:r>
        <w:rPr>
          <w:rFonts w:ascii="Arial" w:cs="Arial" w:eastAsia="Arial" w:hAnsi="Arial"/>
          <w:b/>
          <w:bCs/>
          <w:color w:val="1F3864"/>
          <w:sz w:val="25"/>
          <w:szCs w:val="25"/>
        </w:rPr>
        <w:t xml:space="preserve">6. Texto de la metodología (tal como queda en el informe v8)</w:t>
      </w:r>
    </w:p>
    <w:p>
      <w:pPr>
        <w:spacing w:after="100" w:line="300"/>
        <w:jc w:val="both"/>
      </w:pPr>
      <w:r>
        <w:rPr>
          <w:rFonts w:ascii="Arial" w:cs="Arial" w:eastAsia="Arial" w:hAnsi="Arial"/>
          <w:sz w:val="20"/>
          <w:szCs w:val="20"/>
        </w:rPr>
        <w:t xml:space="preserve">La investigación fue de tipo aplicada, pues se orientó a resolver un problema práctico y concreto mediante el desarrollo de un sistema funcional, en concordancia con la clasificación del Manual de Oslo de la OCDE [36]. Uribe Bohórquez et al. [37] precisaron que la investigación aplicada se distinguía de la básica porque transformaba el conocimiento acumulado en productos, procesos o sistemas que atendían necesidades de un contexto determinado, lo que la hacía especialmente pertinente en proyectos tecnológicos orientados a optimizar procesos existentes. En este caso, el conocimiento sobre sistemas de información y agentes conversacionales se tradujo en una solución para la gestión de pacientes de la fundación.</w:t>
      </w:r>
    </w:p>
    <w:p>
      <w:pPr>
        <w:spacing w:after="100" w:line="300"/>
        <w:jc w:val="both"/>
      </w:pPr>
      <w:r>
        <w:rPr>
          <w:rFonts w:ascii="Arial" w:cs="Arial" w:eastAsia="Arial" w:hAnsi="Arial"/>
          <w:sz w:val="20"/>
          <w:szCs w:val="20"/>
        </w:rPr>
        <w:t xml:space="preserve">El enfoque fue cuantitativo, dado que los indicadores se midieron numéricamente y las hipótesis se contrastaron mediante procedimientos estadísticos [38]. El diseño fue experimental, de tipo preexperimental, con preprueba y posprueba en un solo grupo [39]; su esquema se representó como G: O1 – X – O2, donde O1 correspondió a la medición de los indicadores antes de la implementación, X a la puesta en funcionamiento del sistema web con chatbot y O2 a la medición posterior. El alcance fue explicativo, puesto que el estudio buscó determinar el efecto de la intervención sobre la gestión de pacientes. No obstante, al no contar con un grupo de control, las conclusiones causales se interpretaron con cautela, reconociendo como amenazas a la validez interna la historia (acontecimientos externos ocurridos entre ambas mediciones), las diferencias estacionales entre agosto y setiembre y los posibles cambios en el personal administrativo.</w:t>
      </w:r>
    </w:p>
    <w:p>
      <w:pPr>
        <w:spacing w:after="100" w:line="300"/>
        <w:jc w:val="both"/>
      </w:pPr>
      <w:r>
        <w:rPr>
          <w:rFonts w:ascii="Arial" w:cs="Arial" w:eastAsia="Arial" w:hAnsi="Arial"/>
          <w:sz w:val="20"/>
          <w:szCs w:val="20"/>
        </w:rPr>
        <w:t xml:space="preserve">La variable independiente fue el sistema web con chatbot, entendido como una plataforma digital accesible desde un navegador que incorporaba un agente conversacional capaz de interactuar con los usuarios en tiempo real [33], [35]. Se operacionalizó de forma cualitativa, mediante la verificación de la implementación y el funcionamiento de sus tres módulos: registro de pacientes, agendamiento de citas con recordatorios y atención de consultas mediante el chatbot. La variable dependiente fue la gestión de pacientes [30], operacionalizada en tres dimensiones, registro de pacientes, agendamiento de citas médicas y eficacia de la atención, cada una medida mediante un indicador de escala de razón. El tiempo promedio de registro (TPR) se calculó como la suma de los tiempos de cada registro dividida entre el número de registros, expresada en minutos, desde que el personal iniciaba el ingreso de los datos del paciente hasta que estos quedaban almacenados correctamente. La tasa de ausentismo (TA) se obtuvo como el cociente entre las citas no asistidas sin aviso previo y las citas programadas elegibles, multiplicado por cien; se excluyeron del denominador las citas canceladas por la institución, las canceladas con anticipación por el paciente y las reprogramadas antes de la fecha prevista. El nivel de consultas atendidas (NCA) se calculó como el cociente entre las consultas resueltas y las consultas recibidas, multiplicado por cien, considerando resuelta aquella consulta en la que el paciente obtuvo la información solicitada en el primer contacto, sin ser derivado a otra persona o área y sin necesidad de volver a comunicarse por el mismo motivo. Este criterio se aplicó por igual en el pretest, cuando las consultas se atendieron por los canales habituales, y en el postest, cuando se atendieron a través del chatbot. La tabla de operacionalización se incluyó en el Anexo 1.</w:t>
      </w:r>
    </w:p>
    <w:p>
      <w:pPr>
        <w:spacing w:after="100" w:line="300"/>
        <w:jc w:val="both"/>
      </w:pPr>
      <w:r>
        <w:rPr>
          <w:rFonts w:ascii="Arial" w:cs="Arial" w:eastAsia="Arial" w:hAnsi="Arial"/>
          <w:sz w:val="20"/>
          <w:szCs w:val="20"/>
        </w:rPr>
        <w:t xml:space="preserve">La unidad de análisis varió según el indicador: para el TPR fue cada proceso de registro de paciente efectivamente ejecutado; para la tasa de ausentismo, cada cita médica programada elegible; y para el nivel de consultas atendidas, cada consulta administrativa recibida. En consecuencia, la población estuvo constituida por los procesos de gestión de pacientes generados en la fundación durante el periodo de estudio, es decir, los registros, las citas programadas y las consultas administrativas. Arias [40] señaló que la población debía delimitarse según criterios temporales y contextuales que permitieran obtener conclusiones sobre el conjunto de elementos de interés. Como población accesible se consideró a los 32 pacientes activos de la institución, de los cuales 30 cumplieron los criterios de selección y conformaron la muestra de referencia, mediante un muestreo no probabilístico por conveniencia, habitual en investigaciones aplicadas desarrolladas en contextos institucionales específicos [41]. Los procesos generados por estos pacientes durante los periodos de observación constituyeron la base para el cálculo de los indicadores, sin fijar un número de eventos por paciente ni por sesión.</w:t>
      </w:r>
    </w:p>
    <w:p>
      <w:pPr>
        <w:spacing w:after="100" w:line="300"/>
        <w:jc w:val="both"/>
      </w:pPr>
      <w:r>
        <w:rPr>
          <w:rFonts w:ascii="Arial" w:cs="Arial" w:eastAsia="Arial" w:hAnsi="Arial"/>
          <w:sz w:val="20"/>
          <w:szCs w:val="20"/>
        </w:rPr>
        <w:t xml:space="preserve">Se incluyó a los pacientes activos de la fundación durante el periodo de estudio, mayores de edad, con al menos una cita programada en la institución en dicho periodo y que aceptaron participar mediante la firma del consentimiento informado. Se excluyó a quienes presentaron registros incompletos o ilegibles, suspendieron su tratamiento durante el estudio o no otorgaron o retiraron su consentimiento. La recolección se organizó en 13 sesiones de observación durante el pretest, entre el 3 y el 31 de agosto de 2026, y en 13 sesiones durante el postest, entre el 2 y el 30 de setiembre de 2026, en ambos casos los lunes, miércoles y viernes. Para controlar la posible variación de la demanda según el día de la semana, las sesiones se emparejaron por día y por orden de aparición: el primer lunes del pretest con el primer lunes del postest, el primer miércoles con el primer miércoles, y así sucesivamente. De ese modo se formaron doce pares con el mismo día de la semana; el par restante unió la última sesión del pretest (lunes 31 de agosto) con la última del postest (miércoles 30 de setiembre). El calendario de sesiones y el detalle de la decisión muestral se incluyeron en el Anexo 7.</w:t>
      </w:r>
    </w:p>
    <w:p>
      <w:pPr>
        <w:spacing w:after="100" w:line="300"/>
        <w:jc w:val="both"/>
      </w:pPr>
      <w:r>
        <w:rPr>
          <w:rFonts w:ascii="Arial" w:cs="Arial" w:eastAsia="Arial" w:hAnsi="Arial"/>
          <w:sz w:val="20"/>
          <w:szCs w:val="20"/>
        </w:rPr>
        <w:t xml:space="preserve">Las técnicas de recolección fueron la observación estructurada, aplicada a la medición de los tiempos de registro durante el pretest, y el análisis documental de los registros institucionales y del sistema, aplicado a las citas y consultas en ambas etapas y a los tiempos de registro en el postest. Se utilizaron dos instrumentos diseñados para el estudio e implementados en una hoja de cálculo con listas desplegables y cálculos automáticos. El primero fue la ficha de registro de tiempos, que consignó la fecha, el código del paciente y las horas de inicio y fin de cada registro; durante el pretest se completó manualmente con un registro estandarizado y, durante el postest, a partir de las marcas de tiempo generadas por el sistema, con la misma definición de inicio y fin en ambas etapas. El segundo fue la ficha de registro de gestión de pacientes, que consignó para cada cita su estado (asistió, no asistió, cancelada o reprogramada) y para cada consulta su categoría, canal, resolución y eventual derivación. Adicionalmente, antes de iniciar el postest se constató la implementación de la variable independiente mediante una ficha de verificación que registró, para cada módulo del sistema, las funcionalidades comprobadas, la fecha, el resultado y la evidencia correspondiente. Los tres instrumentos se incluyeron en el Anexo 2.</w:t>
      </w:r>
    </w:p>
    <w:p>
      <w:pPr>
        <w:spacing w:after="100" w:line="300"/>
        <w:jc w:val="both"/>
      </w:pPr>
      <w:r>
        <w:rPr>
          <w:rFonts w:ascii="Arial" w:cs="Arial" w:eastAsia="Arial" w:hAnsi="Arial"/>
          <w:sz w:val="20"/>
          <w:szCs w:val="20"/>
        </w:rPr>
        <w:t xml:space="preserve">La validez de contenido de los instrumentos se evaluó mediante el juicio de tres expertos, quienes calificaron cada campo según los criterios de suficiencia, claridad, coherencia y relevancia propuestos por Escobar-Pérez y Cuervo-Martínez [42]. </w:t>
      </w:r>
      <w:r>
        <w:rPr>
          <w:rFonts w:ascii="Arial" w:cs="Arial" w:eastAsia="Arial" w:hAnsi="Arial"/>
          <w:sz w:val="20"/>
          <w:szCs w:val="20"/>
          <w:highlight w:val="yellow"/>
        </w:rPr>
        <w:t xml:space="preserve">Consignar el resultado de la validación: nombres y grados de los tres jueces, calificación obtenida y observaciones levantadas.</w:t>
      </w:r>
      <w:r>
        <w:rPr>
          <w:rFonts w:ascii="Arial" w:cs="Arial" w:eastAsia="Arial" w:hAnsi="Arial"/>
          <w:sz w:val="20"/>
          <w:szCs w:val="20"/>
        </w:rPr>
        <w:t xml:space="preserve"> Las fichas de validación se incluyeron en el Anexo 3. Dado que los instrumentos registraron eventos objetivos y no ítems de percepción, no correspondió calcular coeficientes de consistencia interna; la confiabilidad de la medición se resguardó mediante definiciones operacionales explícitas, reglas de registro comunes a ambas etapas y la revisión de la integridad de los datos antes del análisis.</w:t>
      </w:r>
    </w:p>
    <w:p>
      <w:pPr>
        <w:spacing w:after="100" w:line="300"/>
        <w:jc w:val="both"/>
      </w:pPr>
      <w:r>
        <w:rPr>
          <w:rFonts w:ascii="Arial" w:cs="Arial" w:eastAsia="Arial" w:hAnsi="Arial"/>
          <w:sz w:val="20"/>
          <w:szCs w:val="20"/>
        </w:rPr>
        <w:t xml:space="preserve">El procedimiento se desarrolló en tres fases. En la primera se aplicó el pretest con los canales y procedimientos habituales de la institución. En la segunda se implementó el sistema web con chatbot y se capacitó al personal en su uso </w:t>
      </w:r>
      <w:r>
        <w:rPr>
          <w:rFonts w:ascii="Arial" w:cs="Arial" w:eastAsia="Arial" w:hAnsi="Arial"/>
          <w:sz w:val="20"/>
          <w:szCs w:val="20"/>
          <w:highlight w:val="yellow"/>
        </w:rPr>
        <w:t xml:space="preserve">(precisar la fecha de puesta en funcionamiento y de la capacitación, entre el 31 de agosto y el 2 de setiembre de 2026)</w:t>
      </w:r>
      <w:r>
        <w:rPr>
          <w:rFonts w:ascii="Arial" w:cs="Arial" w:eastAsia="Arial" w:hAnsi="Arial"/>
          <w:sz w:val="20"/>
          <w:szCs w:val="20"/>
        </w:rPr>
        <w:t xml:space="preserve">. En la tercera se aplicó el postest con el sistema en funcionamiento. Los datos se consolidaron en la hoja de cálculo, que calculó el valor de cada indicador por sesión: el TPR como el promedio de los registros de la sesión y la TA y el NCA como las proporciones correspondientes a los eventos de esa sesión.</w:t>
      </w:r>
    </w:p>
    <w:p>
      <w:pPr>
        <w:spacing w:after="100" w:line="300"/>
        <w:jc w:val="both"/>
      </w:pPr>
      <w:r>
        <w:rPr>
          <w:rFonts w:ascii="Arial" w:cs="Arial" w:eastAsia="Arial" w:hAnsi="Arial"/>
          <w:sz w:val="20"/>
          <w:szCs w:val="20"/>
        </w:rPr>
        <w:t xml:space="preserve">Para el análisis de datos se utilizó IBM SPSS Statistics, versión 29. A nivel descriptivo se calcularon la media, la mediana, la desviación estándar y los valores mínimo y máximo de cada indicador en ambas etapas; adicionalmente, se reportó el valor global de cada indicador calculado sobre el total de eventos de cada etapa. A nivel inferencial, la unidad de comparación estuvo constituida por los 13 pares de sesiones pretest-postest. Si una sesión no registró eventos para un indicador, el par correspondiente se excluyó del análisis de ese indicador y se informó el número efectivo de pares. Como análisis de sensibilidad, cada contraste se repitió excluyendo el par formado por sesiones de distinto día de la semana, a fin de verificar que la decisión de emparejamiento no alterara las conclusiones. La normalidad de las diferencias se evaluó con la prueba de Shapiro-Wilk, adecuada para muestras pequeñas; cuando se verificó normalidad se aplicó la prueba t de Student para muestras relacionadas y, en caso contrario, la prueba de rangos con signo de Wilcoxon [38]. Para cada indicador se contrastó una hipótesis nula de ausencia de diferencia frente a una hipótesis alterna direccional. Como la primera y la tercera hipótesis específicas se formularon en términos de mejora, para el contraste la mejora del tiempo promedio de registro se entendió como una disminución de su valor en el postest y la mejora del nivel de consultas atendidas como un aumento; la segunda hipótesis ya expresó una disminución de la tasa de ausentismo. De igual modo, la hipótesis general se consideró respaldada cuando los tres indicadores mostraron cambios significativos en la dirección esperada. Se trabajó con un nivel de significancia de 0,05 en pruebas unilaterales, de modo que un valor p menor a 0,05 llevó a rechazar la hipótesis nula, y se reportó el tamaño del efecto para valorar la magnitud práctica de los cambios.</w:t>
      </w:r>
    </w:p>
    <w:p>
      <w:pPr>
        <w:spacing w:after="100" w:line="300"/>
        <w:jc w:val="both"/>
      </w:pPr>
      <w:r>
        <w:rPr>
          <w:rFonts w:ascii="Arial" w:cs="Arial" w:eastAsia="Arial" w:hAnsi="Arial"/>
          <w:sz w:val="20"/>
          <w:szCs w:val="20"/>
        </w:rPr>
        <w:t xml:space="preserve">En cuanto a los aspectos éticos, la investigación se rigió por el Código de Ética en Investigación de la Universidad César Vallejo y por los principios de autonomía, beneficencia, no maleficencia y justicia [15]. La participación fue voluntaria y se formalizó mediante el consentimiento informado (Anexo 4); dado que todos los participantes fueron mayores de edad, no se requirió asentimiento. La fundación autorizó la ejecución del estudio y el uso de su información (Anexos 5 y 6), y se preservó su anonimato, de modo que ni el título ni el informe permitieran identificarla. Los datos personales se reemplazaron por códigos alfanuméricos, se almacenaron con acceso restringido a los investigadores y se trataron conforme a la Ley N.° 29733, Ley de Protección de Datos Personales [43]. La originalidad del informe se verificó con el software Turnitin (Anexo 10). </w:t>
      </w:r>
      <w:r>
        <w:rPr>
          <w:rFonts w:ascii="Arial" w:cs="Arial" w:eastAsia="Arial" w:hAnsi="Arial"/>
          <w:sz w:val="20"/>
          <w:szCs w:val="20"/>
          <w:highlight w:val="yellow"/>
        </w:rPr>
        <w:t xml:space="preserve">Declarar las herramientas de inteligencia artificial utilizadas como apoyo a la investigación, con su versión, conforme al numeral 4.4.3 de la guía.</w:t>
      </w:r>
    </w:p>
    <w:p>
      <w:pPr>
        <w:pStyle w:val="Heading1"/>
        <w:spacing w:after="110" w:before="220"/>
      </w:pPr>
      <w:r>
        <w:rPr>
          <w:rFonts w:ascii="Arial" w:cs="Arial" w:eastAsia="Arial" w:hAnsi="Arial"/>
          <w:b/>
          <w:bCs/>
          <w:color w:val="1F3864"/>
          <w:sz w:val="25"/>
          <w:szCs w:val="25"/>
        </w:rPr>
        <w:t xml:space="preserve">7. Resultado de la sesión</w:t>
      </w:r>
    </w:p>
    <w:p>
      <w:pPr>
        <w:spacing w:after="100" w:line="290"/>
        <w:jc w:val="both"/>
      </w:pPr>
      <w:r>
        <w:rPr>
          <w:rFonts w:ascii="Arial" w:cs="Arial" w:eastAsia="Arial" w:hAnsi="Arial"/>
          <w:b/>
          <w:bCs/>
          <w:sz w:val="21"/>
          <w:szCs w:val="21"/>
        </w:rPr>
        <w:t xml:space="preserve">(a) Lo que se hizo.</w:t>
      </w:r>
      <w:r>
        <w:rPr>
          <w:rFonts w:ascii="Arial" w:cs="Arial" w:eastAsia="Arial" w:hAnsi="Arial"/>
          <w:sz w:val="21"/>
          <w:szCs w:val="21"/>
        </w:rPr>
        <w:t xml:space="preserve"> Metodología actualizada al calendario real (agosto/setiembre), emparejamiento por día de la semana con análisis de sensibilidad, retiro de la mención al piloto y revisión con la rúbrica. Anexos 6 y 7 actualizados. Informe v8 y Excel v4 con fechas reales, pares y columna de verificación del día, con fórmulas probadas.</w:t>
      </w:r>
    </w:p>
    <w:p>
      <w:pPr>
        <w:spacing w:after="100" w:line="290"/>
        <w:jc w:val="both"/>
      </w:pPr>
      <w:r>
        <w:rPr>
          <w:rFonts w:ascii="Arial" w:cs="Arial" w:eastAsia="Arial" w:hAnsi="Arial"/>
          <w:b/>
          <w:bCs/>
          <w:sz w:val="21"/>
          <w:szCs w:val="21"/>
        </w:rPr>
        <w:t xml:space="preserve">(b) Lo que falta.</w:t>
      </w:r>
      <w:r>
        <w:rPr>
          <w:rFonts w:ascii="Arial" w:cs="Arial" w:eastAsia="Arial" w:hAnsi="Arial"/>
          <w:sz w:val="21"/>
          <w:szCs w:val="21"/>
        </w:rPr>
        <w:t xml:space="preserve"> Las cuatro confirmaciones de integridad de la sección 5 y la aprobación del emparejamiento por el asesor.</w:t>
      </w:r>
    </w:p>
    <w:p>
      <w:pPr>
        <w:spacing w:after="100" w:line="290"/>
        <w:jc w:val="both"/>
      </w:pPr>
      <w:r>
        <w:rPr>
          <w:rFonts w:ascii="Arial" w:cs="Arial" w:eastAsia="Arial" w:hAnsi="Arial"/>
          <w:b/>
          <w:bCs/>
          <w:sz w:val="21"/>
          <w:szCs w:val="21"/>
        </w:rPr>
        <w:t xml:space="preserve">(c) Qué necesito para la Sesión 8 (Instrumentos y validación).</w:t>
      </w:r>
      <w:r>
        <w:rPr>
          <w:rFonts w:ascii="Arial" w:cs="Arial" w:eastAsia="Arial" w:hAnsi="Arial"/>
          <w:sz w:val="21"/>
          <w:szCs w:val="21"/>
        </w:rPr>
        <w:t xml:space="preserve"> (1) Nombres, grados y especialidad de los tres jueces expertos, y si ya firmaron las fichas y en qué fecha. (2) Las respuestas a la sección 5. (3) Si ya tienen las fichas de validación llenadas, envíenlas para transcribir los resultados sin inventar calificaciones.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2026-09-26T21:43:58.676Z</dcterms:created>
  <dcterms:modified xsi:type="dcterms:W3CDTF">2026-09-26T21:43:58.676Z</dcterms:modified>
</cp:coreProperties>
</file>

<file path=docProps/custom.xml><?xml version="1.0" encoding="utf-8"?>
<Properties xmlns="http://schemas.openxmlformats.org/officeDocument/2006/custom-properties" xmlns:vt="http://schemas.openxmlformats.org/officeDocument/2006/docPropsVTypes"/>
</file>