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SESIÓN 4 — MARCO TEÓRICO</w:t>
      </w:r>
    </w:p>
    <w:p>
      <w:pPr>
        <w:pBdr>
          <w:bottom w:val="single" w:color="1F3864" w:sz="8" w:space="4"/>
        </w:pBdr>
        <w:spacing w:after="200"/>
        <w:jc w:val="center"/>
      </w:pPr>
      <w:r>
        <w:rPr>
          <w:rFonts w:ascii="Arial" w:cs="Arial" w:eastAsia="Arial" w:hAnsi="Arial"/>
          <w:color w:val="555555"/>
          <w:sz w:val="18"/>
          <w:szCs w:val="18"/>
        </w:rPr>
        <w:t xml:space="preserve">Sistema web con chatbot para la gestión de pacientes en una fundación oncológica privada de Lima, 2026 · 26/09/2026</w:t>
      </w:r>
    </w:p>
    <w:p>
      <w:pPr>
        <w:pStyle w:val="Heading1"/>
        <w:spacing w:after="120" w:before="240"/>
      </w:pPr>
      <w:r>
        <w:rPr>
          <w:rFonts w:ascii="Arial" w:cs="Arial" w:eastAsia="Arial" w:hAnsi="Arial"/>
          <w:b/>
          <w:bCs/>
          <w:color w:val="1F3864"/>
          <w:sz w:val="26"/>
          <w:szCs w:val="26"/>
        </w:rPr>
        <w:t xml:space="preserve">1. Punto de partida</w:t>
      </w:r>
    </w:p>
    <w:p>
      <w:pPr>
        <w:spacing w:after="110" w:line="300"/>
        <w:jc w:val="both"/>
      </w:pPr>
      <w:r>
        <w:rPr>
          <w:rFonts w:ascii="Arial" w:cs="Arial" w:eastAsia="Arial" w:hAnsi="Arial"/>
          <w:sz w:val="22"/>
          <w:szCs w:val="22"/>
        </w:rPr>
        <w:t xml:space="preserve">De la Sesión 3 quedó pendiente alcanzar el 70 % de artículos indexados y confirmar en Scimago las revistas dudosas. Tampoco se recibió la información sobre la metodología de desarrollo y la tecnología del sistema; se revisó el repositorio y no contiene el código fuente, por lo que ese párrafo sigue marcado como pendiente.</w:t>
      </w:r>
    </w:p>
    <w:p>
      <w:pPr>
        <w:pStyle w:val="Heading1"/>
        <w:spacing w:after="120" w:before="240"/>
      </w:pPr>
      <w:r>
        <w:rPr>
          <w:rFonts w:ascii="Arial" w:cs="Arial" w:eastAsia="Arial" w:hAnsi="Arial"/>
          <w:b/>
          <w:bCs/>
          <w:color w:val="1F3864"/>
          <w:sz w:val="26"/>
          <w:szCs w:val="26"/>
        </w:rPr>
        <w:t xml:space="preserve">2. Qué se hizo</w:t>
      </w:r>
    </w:p>
    <w:p>
      <w:pPr>
        <w:pStyle w:val="ListParagraph"/>
        <w:numPr>
          <w:ilvl w:val="0"/>
          <w:numId w:val="2"/>
        </w:numPr>
        <w:spacing w:after="70" w:line="280"/>
      </w:pPr>
      <w:r>
        <w:rPr>
          <w:rFonts w:ascii="Arial" w:cs="Arial" w:eastAsia="Arial" w:hAnsi="Arial"/>
          <w:b/>
          <w:bCs/>
          <w:sz w:val="22"/>
          <w:szCs w:val="22"/>
        </w:rPr>
        <w:t xml:space="preserve">Teorías:</w:t>
      </w:r>
      <w:r>
        <w:rPr>
          <w:rFonts w:ascii="Arial" w:cs="Arial" w:eastAsia="Arial" w:hAnsi="Arial"/>
          <w:sz w:val="22"/>
          <w:szCs w:val="22"/>
        </w:rPr>
        <w:t xml:space="preserve"> se mantienen los tres referentes y se refuerza el TAM con evidencia del sector salud (AlQudah et al., revisión de 142 estudios), en lugar de un estudio sobre difusión de contenidos universitarios.</w:t>
      </w:r>
    </w:p>
    <w:p>
      <w:pPr>
        <w:pStyle w:val="ListParagraph"/>
        <w:numPr>
          <w:ilvl w:val="0"/>
          <w:numId w:val="2"/>
        </w:numPr>
        <w:spacing w:after="70" w:line="280"/>
      </w:pPr>
      <w:r>
        <w:rPr>
          <w:rFonts w:ascii="Arial" w:cs="Arial" w:eastAsia="Arial" w:hAnsi="Arial"/>
          <w:b/>
          <w:bCs/>
          <w:sz w:val="22"/>
          <w:szCs w:val="22"/>
        </w:rPr>
        <w:t xml:space="preserve">Enfoques conceptuales:</w:t>
      </w:r>
      <w:r>
        <w:rPr>
          <w:rFonts w:ascii="Arial" w:cs="Arial" w:eastAsia="Arial" w:hAnsi="Arial"/>
          <w:sz w:val="22"/>
          <w:szCs w:val="22"/>
        </w:rPr>
        <w:t xml:space="preserve"> se reescribió la definición de chatbot con una fuente indexada y se añadió un párrafo nuevo sobre grandes modelos de lenguaje, sus riesgos y la generación aumentada por recuperación. El párrafo justifica dos decisiones de diseño: restringir el chatbot a consultas administrativas y alimentarlo con información oficial de la fundación.</w:t>
      </w:r>
    </w:p>
    <w:p>
      <w:pPr>
        <w:pStyle w:val="ListParagraph"/>
        <w:numPr>
          <w:ilvl w:val="0"/>
          <w:numId w:val="2"/>
        </w:numPr>
        <w:spacing w:after="70" w:line="280"/>
      </w:pPr>
      <w:r>
        <w:rPr>
          <w:rFonts w:ascii="Arial" w:cs="Arial" w:eastAsia="Arial" w:hAnsi="Arial"/>
          <w:b/>
          <w:bCs/>
          <w:sz w:val="22"/>
          <w:szCs w:val="22"/>
        </w:rPr>
        <w:t xml:space="preserve">Referencias:</w:t>
      </w:r>
      <w:r>
        <w:rPr>
          <w:rFonts w:ascii="Arial" w:cs="Arial" w:eastAsia="Arial" w:hAnsi="Arial"/>
          <w:sz w:val="22"/>
          <w:szCs w:val="22"/>
        </w:rPr>
        <w:t xml:space="preserve"> se retiraron cinco fuentes de revistas probablemente no indexadas y tres tesis, y se añadieron cuatro artículos indexados verificados. El total pasa de 47 a 43.</w:t>
      </w:r>
    </w:p>
    <w:p>
      <w:pPr>
        <w:pStyle w:val="ListParagraph"/>
        <w:numPr>
          <w:ilvl w:val="0"/>
          <w:numId w:val="2"/>
        </w:numPr>
        <w:spacing w:after="70" w:line="280"/>
      </w:pPr>
      <w:r>
        <w:rPr>
          <w:rFonts w:ascii="Arial" w:cs="Arial" w:eastAsia="Arial" w:hAnsi="Arial"/>
          <w:b/>
          <w:bCs/>
          <w:sz w:val="22"/>
          <w:szCs w:val="22"/>
        </w:rPr>
        <w:t xml:space="preserve">Coherencia:</w:t>
      </w:r>
      <w:r>
        <w:rPr>
          <w:rFonts w:ascii="Arial" w:cs="Arial" w:eastAsia="Arial" w:hAnsi="Arial"/>
          <w:sz w:val="22"/>
          <w:szCs w:val="22"/>
        </w:rPr>
        <w:t xml:space="preserve"> la definición conceptual de la variable independiente en la metodología y en el Anexo 1 ahora cita las nuevas fuentes.</w:t>
      </w:r>
    </w:p>
    <w:p>
      <w:pPr>
        <w:spacing w:after="110" w:line="300"/>
        <w:jc w:val="both"/>
      </w:pPr>
      <w:r>
        <w:rPr>
          <w:rFonts w:ascii="Arial" w:cs="Arial" w:eastAsia="Arial" w:hAnsi="Arial"/>
          <w:sz w:val="20"/>
          <w:szCs w:val="20"/>
        </w:rPr>
        <w:t xml:space="preserve">Extensión del marco teórico y conceptual: ≈ 1042 palabras. Introducción completa: ≈ 4 700 palabras.</w:t>
      </w:r>
    </w:p>
    <w:p>
      <w:pPr>
        <w:sectPr>
          <w:pgSz w:w="11906" w:h="16838"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color w:val="1F3864"/>
          <w:sz w:val="26"/>
          <w:szCs w:val="26"/>
        </w:rPr>
        <w:t xml:space="preserve">3. Referentes teóricos y su función en la tesis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3000"/>
        <w:gridCol w:w="3000"/>
        <w:gridCol w:w="2800"/>
        <w:gridCol w:w="1358"/>
      </w:tblGrid>
      <w:tr>
        <w:trPr>
          <w:cantSplit/>
          <w:tblHeader/>
        </w:trPr>
        <w:tc>
          <w:tcPr>
            <w:tcW w:type="dxa" w:w="21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Referente</w:t>
            </w:r>
          </w:p>
        </w:tc>
        <w:tc>
          <w:tcPr>
            <w:tcW w:type="dxa" w:w="17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Autor fundacional</w:t>
            </w:r>
          </w:p>
        </w:tc>
        <w:tc>
          <w:tcPr>
            <w:tcW w:type="dxa" w:w="30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Postulado central</w:t>
            </w:r>
          </w:p>
        </w:tc>
        <w:tc>
          <w:tcPr>
            <w:tcW w:type="dxa" w:w="30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Evidencia de respaldo</w:t>
            </w:r>
          </w:p>
        </w:tc>
        <w:tc>
          <w:tcPr>
            <w:tcW w:type="dxa" w:w="2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Función en la tesis</w:t>
            </w:r>
          </w:p>
        </w:tc>
        <w:tc>
          <w:tcPr>
            <w:tcW w:type="dxa" w:w="13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Indicadores</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Modelo de aceptación tecnológica (TAM)</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Davis [19], 1989</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La utilidad percibida y la facilidad de uso percibida determinan la actitud y la intención de uso, que anteceden al uso efectivo.</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Cardona-Valencia y Betancur Duque [27]; Silverte et al. [28]; AlQudah et al. [29] (142 estudios en salud)</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Explica una condición previa: si el personal y los pacientes adoptan el sistema, cabe esperar cambios en los indicadores. No se mide directamente.</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TPR, TA y NCA (de forma indirecta)</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Modelo de éxito de los sistemas de información</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DeLone y McLean [20], 2003</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La calidad del sistema, de la información y del servicio determina el uso y la satisfacción, que generan beneficios netos para la organización.</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Rodríguez Mora et al. [30]; Castañeiro Rodríguez et al. [31]</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Los tres indicadores se interpretan como beneficios netos de un sistema de información exitoso.</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TPR, TA y NCA</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Enfoque de comunicación en salud digital</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Gonzalo-Iglesia y Vidal-Pérez [32], 2022</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Los canales digitales permiten una comunicación más continua y personalizada, y reducen la dependencia del contacto presencial.</w:t>
            </w:r>
          </w:p>
        </w:tc>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Alturbag [8] (olvido como causa de inasistencia); Kurniawan et al. [5] (recordatorios y adherencia)</w:t>
            </w:r>
          </w:p>
        </w:tc>
        <w:tc>
          <w:tcPr>
            <w:tcW w:type="dxa" w:w="2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Fundamenta la relación entre los recordatorios y el chatbot y los indicadores de ausentismo y de consultas.</w:t>
            </w:r>
          </w:p>
        </w:tc>
        <w:tc>
          <w:tcPr>
            <w:tcW w:type="dxa" w:w="13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TA y NCA</w:t>
            </w:r>
          </w:p>
        </w:tc>
      </w:tr>
    </w:tbl>
    <w:p>
      <w:pPr>
        <w:pStyle w:val="Heading1"/>
        <w:spacing w:after="120" w:before="240"/>
      </w:pPr>
      <w:r>
        <w:rPr>
          <w:rFonts w:ascii="Arial" w:cs="Arial" w:eastAsia="Arial" w:hAnsi="Arial"/>
          <w:b/>
          <w:bCs/>
          <w:color w:val="1F3864"/>
          <w:sz w:val="26"/>
          <w:szCs w:val="26"/>
        </w:rPr>
        <w:t xml:space="preserve">4. Enfoques conceptuales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gridCol w:w="4758"/>
      </w:tblGrid>
      <w:tr>
        <w:trPr>
          <w:cantSplit/>
          <w:tblHeader/>
        </w:trPr>
        <w:tc>
          <w:tcPr>
            <w:tcW w:type="dxa" w:w="26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Concepto</w:t>
            </w:r>
          </w:p>
        </w:tc>
        <w:tc>
          <w:tcPr>
            <w:tcW w:type="dxa" w:w="66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Definición adoptada</w:t>
            </w:r>
          </w:p>
        </w:tc>
        <w:tc>
          <w:tcPr>
            <w:tcW w:type="dxa" w:w="47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Fuente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Sistema web</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Aplicación a la que se accede por navegador, con la lógica y los datos en un servidor.</w:t>
            </w:r>
          </w:p>
        </w:tc>
        <w:tc>
          <w:tcPr>
            <w:tcW w:type="dxa" w:w="47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7"/>
                <w:szCs w:val="17"/>
                <w:highlight w:val="yellow"/>
              </w:rPr>
              <w:t xml:space="preserve">Sin cita; se sugiere añadir una fuente indexada o dejarlo como definición operativa.</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Chatbot</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Programa que interactúa en lenguaje natural por texto o voz; evolucionó de reglas a aprendizaje automático.</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Adamopoulou y Moussiades [33]</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Agente conversacional en salud</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Distinción entre agentes con lenguaje natural libre y agentes con opciones predefinidas; evaluación heterogénea.</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Laranjo et al. [34]</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Chatbot híbrido</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Combina la IA con la intervención humana; favorece la aceptación en usuarios diversos.</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Wah [7]</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Gran modelo de lenguaje (LLM)</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Modelo que responde consultas en texto libre sin entrenamiento específico para la tarea; puede generar respuestas incorrectas.</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Thirunavukarasu et al. [35]; Bai et al. [22]</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Generación aumentada por recuperación (RAG)</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El modelo responde a partir de una base de conocimiento verificada; reduce las alucinaciones.</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Nishisako et al. [23]</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Gestión de pacientes (VD)</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Procesos para registrar, organizar, consultar y administrar la información de la atención.</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Rodríguez Mora et al. [30]; Gonzalo-Iglesia y Vidal-Pérez [32]</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Registro de pacientes</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Recopilación, validación y almacenamiento de los datos necesarios para iniciar la atención.</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Rodríguez Mora et al. [30]</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Agendamiento y ausentismo</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Organización de fechas y horarios; el ausentismo es la inasistencia sin aviso previo.</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Woodcock et al. [14]; McMullen y Netland [9]; Soto Asencios et al. [10]; Alturbag [8]</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Eficacia de la atención</w:t>
            </w:r>
          </w:p>
        </w:tc>
        <w:tc>
          <w:tcPr>
            <w:tcW w:type="dxa" w:w="6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Resolución de las consultas en el primer contacto y sin derivación.</w:t>
            </w:r>
          </w:p>
        </w:tc>
        <w:tc>
          <w:tcPr>
            <w:tcW w:type="dxa" w:w="47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Nadarzynski et al. [2] (definición operativa propia del estudio)</w:t>
            </w:r>
          </w:p>
        </w:tc>
      </w:tr>
    </w:tbl>
    <w:p>
      <w:pPr>
        <w:pStyle w:val="Heading1"/>
        <w:spacing w:after="120" w:before="240"/>
      </w:pPr>
      <w:r>
        <w:rPr>
          <w:rFonts w:ascii="Arial" w:cs="Arial" w:eastAsia="Arial" w:hAnsi="Arial"/>
          <w:b/>
          <w:bCs/>
          <w:color w:val="1F3864"/>
          <w:sz w:val="26"/>
          <w:szCs w:val="26"/>
        </w:rPr>
        <w:t xml:space="preserve">5. Cambios en las referencias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3800"/>
        <w:gridCol w:w="5258"/>
      </w:tblGrid>
      <w:tr>
        <w:trPr>
          <w:cantSplit/>
          <w:tblHeader/>
        </w:trPr>
        <w:tc>
          <w:tcPr>
            <w:tcW w:type="dxa" w:w="11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Acción</w:t>
            </w:r>
          </w:p>
        </w:tc>
        <w:tc>
          <w:tcPr>
            <w:tcW w:type="dxa" w:w="3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Fuente</w:t>
            </w:r>
          </w:p>
        </w:tc>
        <w:tc>
          <w:tcPr>
            <w:tcW w:type="dxa" w:w="38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Motivo</w:t>
            </w:r>
          </w:p>
        </w:tc>
        <w:tc>
          <w:tcPr>
            <w:tcW w:type="dxa" w:w="52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Reemplazo</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Retirada</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Pareja-Arredondo et al. (Rev. Micaela)</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Revista probablemente no indexada</w:t>
            </w:r>
          </w:p>
        </w:tc>
        <w:tc>
          <w:tcPr>
            <w:tcW w:type="dxa" w:w="52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Thirunavukarasu et al. (Nature Medicine, 2023) y Adamopoulou y Moussiades (Mach. Learn. Appl., 2020)</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Retirada</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Moposita y Jordán (Uniandes Episteme)</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Revista probablemente no indexada</w:t>
            </w:r>
          </w:p>
        </w:tc>
        <w:tc>
          <w:tcPr>
            <w:tcW w:type="dxa" w:w="52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Adamopoulou y Moussiades</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Retirada</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Bravo Maruri et al. (GADE)</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Revista probablemente no indexada</w:t>
            </w:r>
          </w:p>
        </w:tc>
        <w:tc>
          <w:tcPr>
            <w:tcW w:type="dxa" w:w="52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Laranjo et al. (JAMIA, 2018)</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Retirada</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Calle-Díaz et al. (MQRInvestigar)</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Revista probablemente no indexada; estudio fuera del sector salud</w:t>
            </w:r>
          </w:p>
        </w:tc>
        <w:tc>
          <w:tcPr>
            <w:tcW w:type="dxa" w:w="52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AlQudah et al. (Applied Sciences, 2021), revisión de 142 estudios en salud</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Retirada</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Salinas Santiago et al. (Rev. Cient. Biotech Eng.)</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Revista probablemente no indexada</w:t>
            </w:r>
          </w:p>
        </w:tc>
        <w:tc>
          <w:tcPr>
            <w:tcW w:type="dxa" w:w="52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Sin reemplazo (hay suficientes antecedentes)</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Retirada</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Torres Mendoza, Asencios, Coronado y Cavero (tesis)</w:t>
            </w:r>
          </w:p>
        </w:tc>
        <w:tc>
          <w:tcPr>
            <w:tcW w:type="dxa" w:w="3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Reducción de tesis de 6 a 3</w:t>
            </w:r>
          </w:p>
        </w:tc>
        <w:tc>
          <w:tcPr>
            <w:tcW w:type="dxa" w:w="52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Se mantienen Dávila Colán, Cuya Camacho y Bacilio Ruiz</w:t>
            </w:r>
          </w:p>
        </w:tc>
      </w:tr>
    </w:tbl>
    <w:p>
      <w:pPr>
        <w:pStyle w:val="Heading1"/>
        <w:spacing w:after="120" w:before="240"/>
      </w:pPr>
      <w:r>
        <w:rPr>
          <w:rFonts w:ascii="Arial" w:cs="Arial" w:eastAsia="Arial" w:hAnsi="Arial"/>
          <w:b/>
          <w:bCs/>
          <w:color w:val="1F3864"/>
          <w:sz w:val="26"/>
          <w:szCs w:val="26"/>
        </w:rPr>
        <w:t xml:space="preserve">6. Cumplimiento de la guía en referencias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500"/>
        <w:gridCol w:w="1500"/>
        <w:gridCol w:w="1500"/>
        <w:gridCol w:w="4458"/>
      </w:tblGrid>
      <w:tr>
        <w:trPr>
          <w:cantSplit/>
          <w:tblHeader/>
        </w:trPr>
        <w:tc>
          <w:tcPr>
            <w:tcW w:type="dxa" w:w="65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Categoría</w:t>
            </w:r>
          </w:p>
        </w:tc>
        <w:tc>
          <w:tcPr>
            <w:tcW w:type="dxa" w:w="15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Cantidad</w:t>
            </w:r>
          </w:p>
        </w:tc>
        <w:tc>
          <w:tcPr>
            <w:tcW w:type="dxa" w:w="1500"/>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 del total</w:t>
            </w:r>
          </w:p>
        </w:tc>
        <w:tc>
          <w:tcPr>
            <w:tcW w:type="dxa" w:w="4458"/>
            <w:tcBorders>
              <w:top w:val="single" w:color="999999" w:sz="4"/>
              <w:left w:val="single" w:color="999999" w:sz="4"/>
              <w:bottom w:val="single" w:color="999999" w:sz="4"/>
              <w:right w:val="single" w:color="999999" w:sz="4"/>
            </w:tcBorders>
            <w:shd w:fill="D5DCE4" w:color="auto" w:val="clear"/>
            <w:tcMar>
              <w:top w:type="dxa" w:w="40"/>
              <w:left w:type="dxa" w:w="70"/>
              <w:bottom w:type="dxa" w:w="40"/>
              <w:right w:type="dxa" w:w="70"/>
            </w:tcMar>
          </w:tcPr>
          <w:p>
            <w:pPr>
              <w:spacing w:after="10"/>
            </w:pPr>
            <w:r>
              <w:rPr>
                <w:rFonts w:ascii="Arial" w:cs="Arial" w:eastAsia="Arial" w:hAnsi="Arial"/>
                <w:b/>
                <w:bCs/>
                <w:sz w:val="17"/>
                <w:szCs w:val="17"/>
              </w:rPr>
              <w:t xml:space="preserve">Estado</w:t>
            </w:r>
          </w:p>
        </w:tc>
      </w:tr>
      <w:tr>
        <w:trPr>
          <w:cantSplit/>
          <w:tblHeader w:val="false"/>
        </w:trPr>
        <w:tc>
          <w:tcPr>
            <w:tcW w:type="dxa" w:w="6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Scopus (revista con SJR)</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55.8 %</w:t>
            </w:r>
          </w:p>
        </w:tc>
        <w:tc>
          <w:tcPr>
            <w:tcW w:type="dxa" w:w="4458"/>
            <w:tcBorders>
              <w:top w:val="single" w:color="999999" w:sz="4"/>
              <w:left w:val="single" w:color="999999" w:sz="4"/>
              <w:bottom w:val="single" w:color="999999" w:sz="4"/>
              <w:right w:val="single" w:color="999999" w:sz="4"/>
            </w:tcBorders>
            <w:shd w:fill="D9EAD3" w:color="auto" w:val="clear"/>
            <w:tcMar>
              <w:top w:type="dxa" w:w="40"/>
              <w:left w:type="dxa" w:w="70"/>
              <w:bottom w:type="dxa" w:w="40"/>
              <w:right w:type="dxa" w:w="70"/>
            </w:tcMar>
          </w:tcPr>
          <w:p>
            <w:pPr>
              <w:spacing w:after="10"/>
            </w:pPr>
            <w:r>
              <w:rPr>
                <w:rFonts w:ascii="Arial" w:cs="Arial" w:eastAsia="Arial" w:hAnsi="Arial"/>
                <w:b w:val="false"/>
                <w:bCs w:val="false"/>
                <w:sz w:val="17"/>
                <w:szCs w:val="17"/>
              </w:rPr>
              <w:t xml:space="preserve">Cumple</w:t>
            </w:r>
          </w:p>
        </w:tc>
      </w:tr>
      <w:tr>
        <w:trPr>
          <w:cantSplit/>
          <w:tblHeader w:val="false"/>
        </w:trPr>
        <w:tc>
          <w:tcPr>
            <w:tcW w:type="dxa" w:w="6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SciELO (verificar SJR en Scimago)</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6</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14.0 %</w:t>
            </w:r>
          </w:p>
        </w:tc>
        <w:tc>
          <w:tcPr>
            <w:tcW w:type="dxa" w:w="4458"/>
            <w:tcBorders>
              <w:top w:val="single" w:color="999999" w:sz="4"/>
              <w:left w:val="single" w:color="999999" w:sz="4"/>
              <w:bottom w:val="single" w:color="999999" w:sz="4"/>
              <w:right w:val="single" w:color="999999" w:sz="4"/>
            </w:tcBorders>
            <w:shd w:fill="DDEBF7" w:color="auto" w:val="clear"/>
            <w:tcMar>
              <w:top w:type="dxa" w:w="40"/>
              <w:left w:type="dxa" w:w="70"/>
              <w:bottom w:type="dxa" w:w="40"/>
              <w:right w:type="dxa" w:w="70"/>
            </w:tcMar>
          </w:tcPr>
          <w:p>
            <w:pPr>
              <w:spacing w:after="10"/>
            </w:pPr>
            <w:r>
              <w:rPr>
                <w:rFonts w:ascii="Arial" w:cs="Arial" w:eastAsia="Arial" w:hAnsi="Arial"/>
                <w:b w:val="false"/>
                <w:bCs w:val="false"/>
                <w:sz w:val="17"/>
                <w:szCs w:val="17"/>
              </w:rPr>
              <w:t xml:space="preserve">Probable</w:t>
            </w:r>
          </w:p>
        </w:tc>
      </w:tr>
      <w:tr>
        <w:trPr>
          <w:cantSplit/>
          <w:tblHeader w:val="false"/>
        </w:trPr>
        <w:tc>
          <w:tcPr>
            <w:tcW w:type="dxa" w:w="6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Verificar indexación vigente (Cureus; Rev. Comun. Salud)</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4.7 %</w:t>
            </w:r>
          </w:p>
        </w:tc>
        <w:tc>
          <w:tcPr>
            <w:tcW w:type="dxa" w:w="44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7"/>
                <w:szCs w:val="17"/>
              </w:rPr>
              <w:t xml:space="preserve">Verificar</w:t>
            </w:r>
          </w:p>
        </w:tc>
      </w:tr>
      <w:tr>
        <w:trPr>
          <w:cantSplit/>
          <w:tblHeader w:val="false"/>
        </w:trPr>
        <w:tc>
          <w:tcPr>
            <w:tcW w:type="dxa" w:w="6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Revista no indexada (Escobar-Pérez y Cuervo-Martínez, citada por la guía)</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1</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2.3 %</w:t>
            </w:r>
          </w:p>
        </w:tc>
        <w:tc>
          <w:tcPr>
            <w:tcW w:type="dxa" w:w="44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7"/>
                <w:szCs w:val="17"/>
              </w:rPr>
              <w:t xml:space="preserve">Justificada</w:t>
            </w:r>
          </w:p>
        </w:tc>
      </w:tr>
      <w:tr>
        <w:trPr>
          <w:cantSplit/>
          <w:tblHeader w:val="false"/>
        </w:trPr>
        <w:tc>
          <w:tcPr>
            <w:tcW w:type="dxa" w:w="6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Tesis de grado</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7.0 %</w:t>
            </w:r>
          </w:p>
        </w:tc>
        <w:tc>
          <w:tcPr>
            <w:tcW w:type="dxa" w:w="44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7"/>
                <w:szCs w:val="17"/>
              </w:rPr>
              <w:t xml:space="preserve">No cuenta</w:t>
            </w:r>
          </w:p>
        </w:tc>
      </w:tr>
      <w:tr>
        <w:trPr>
          <w:cantSplit/>
          <w:tblHeader w:val="false"/>
        </w:trPr>
        <w:tc>
          <w:tcPr>
            <w:tcW w:type="dxa" w:w="6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Libros de metodología</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3</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7.0 %</w:t>
            </w:r>
          </w:p>
        </w:tc>
        <w:tc>
          <w:tcPr>
            <w:tcW w:type="dxa" w:w="44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7"/>
                <w:szCs w:val="17"/>
              </w:rPr>
              <w:t xml:space="preserve">No cuenta</w:t>
            </w:r>
          </w:p>
        </w:tc>
      </w:tr>
      <w:tr>
        <w:trPr>
          <w:cantSplit/>
          <w:tblHeader w:val="false"/>
        </w:trPr>
        <w:tc>
          <w:tcPr>
            <w:tcW w:type="dxa" w:w="6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Documentos oficiales o normativos</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4</w:t>
            </w:r>
          </w:p>
        </w:tc>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10"/>
            </w:pPr>
            <w:r>
              <w:rPr>
                <w:rFonts w:ascii="Arial" w:cs="Arial" w:eastAsia="Arial" w:hAnsi="Arial"/>
                <w:b w:val="false"/>
                <w:bCs w:val="false"/>
                <w:sz w:val="17"/>
                <w:szCs w:val="17"/>
              </w:rPr>
              <w:t xml:space="preserve">9.3 %</w:t>
            </w:r>
          </w:p>
        </w:tc>
        <w:tc>
          <w:tcPr>
            <w:tcW w:type="dxa" w:w="4458"/>
            <w:tcBorders>
              <w:top w:val="single" w:color="999999" w:sz="4"/>
              <w:left w:val="single" w:color="999999" w:sz="4"/>
              <w:bottom w:val="single" w:color="999999" w:sz="4"/>
              <w:right w:val="single" w:color="999999" w:sz="4"/>
            </w:tcBorders>
            <w:shd w:fill="FCE8B2" w:color="auto" w:val="clear"/>
            <w:tcMar>
              <w:top w:type="dxa" w:w="40"/>
              <w:left w:type="dxa" w:w="70"/>
              <w:bottom w:type="dxa" w:w="40"/>
              <w:right w:type="dxa" w:w="70"/>
            </w:tcMar>
          </w:tcPr>
          <w:p>
            <w:pPr>
              <w:spacing w:after="10"/>
            </w:pPr>
            <w:r>
              <w:rPr>
                <w:rFonts w:ascii="Arial" w:cs="Arial" w:eastAsia="Arial" w:hAnsi="Arial"/>
                <w:b w:val="false"/>
                <w:bCs w:val="false"/>
                <w:sz w:val="17"/>
                <w:szCs w:val="17"/>
              </w:rPr>
              <w:t xml:space="preserve">No cuenta</w:t>
            </w:r>
          </w:p>
        </w:tc>
      </w:tr>
    </w:tbl>
    <w:p>
      <w:pPr>
        <w:spacing w:after="110" w:line="300"/>
        <w:jc w:val="both"/>
      </w:pPr>
      <w:r>
        <w:rPr>
          <w:rFonts w:ascii="Arial" w:cs="Arial" w:eastAsia="Arial" w:hAnsi="Arial"/>
          <w:sz w:val="20"/>
          <w:szCs w:val="20"/>
        </w:rPr>
        <w:t xml:space="preserve">Total: 43. Idioma extranjero: 24 (≈ 56 %), cumple. Artículos indexados: 24 en Scopus más 6 en SciELO = 30 (≈ 69.8 %). </w:t>
      </w:r>
      <w:r>
        <w:rPr>
          <w:rFonts w:ascii="Arial" w:cs="Arial" w:eastAsia="Arial" w:hAnsi="Arial"/>
          <w:b/>
          <w:bCs/>
          <w:sz w:val="20"/>
          <w:szCs w:val="20"/>
        </w:rPr>
        <w:t xml:space="preserve">Se llega al límite del 70 %</w:t>
      </w:r>
      <w:r>
        <w:rPr>
          <w:rFonts w:ascii="Arial" w:cs="Arial" w:eastAsia="Arial" w:hAnsi="Arial"/>
          <w:sz w:val="20"/>
          <w:szCs w:val="20"/>
        </w:rPr>
        <w:t xml:space="preserve">; si se confirma en Scimago la indexación de Cureus y de la Revista de Comunicación y Salud, serían 32 (≈ 74 %). Conviene que el asesor confirme si cuenta los artículos de SciELO sin SJR.</w:t>
      </w:r>
    </w:p>
    <w:p>
      <w:pPr>
        <w:sectPr>
          <w:pgSz w:w="16838" w:h="11906" w:orient="landscape"/>
          <w:pgMar w:top="1440" w:right="1440" w:bottom="1440" w:left="1440" w:header="708" w:footer="708" w:gutter="0"/>
          <w:pgNumType/>
          <w:docGrid w:linePitch="360"/>
        </w:sectPr>
      </w:pPr>
    </w:p>
    <w:p>
      <w:pPr>
        <w:pStyle w:val="Heading1"/>
        <w:spacing w:after="120" w:before="240"/>
      </w:pPr>
      <w:r>
        <w:rPr>
          <w:rFonts w:ascii="Arial" w:cs="Arial" w:eastAsia="Arial" w:hAnsi="Arial"/>
          <w:b/>
          <w:bCs/>
          <w:color w:val="1F3864"/>
          <w:sz w:val="26"/>
          <w:szCs w:val="26"/>
        </w:rPr>
        <w:t xml:space="preserve">7. Texto del marco teórico (tal como queda en el informe v5)</w:t>
      </w:r>
    </w:p>
    <w:p>
      <w:pPr>
        <w:spacing w:after="110" w:line="320"/>
        <w:jc w:val="both"/>
      </w:pPr>
      <w:r>
        <w:rPr>
          <w:rFonts w:ascii="Arial" w:cs="Arial" w:eastAsia="Arial" w:hAnsi="Arial"/>
          <w:sz w:val="22"/>
          <w:szCs w:val="22"/>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10" w:line="320"/>
        <w:jc w:val="both"/>
      </w:pPr>
      <w:r>
        <w:rPr>
          <w:rFonts w:ascii="Arial" w:cs="Arial" w:eastAsia="Arial" w:hAnsi="Arial"/>
          <w:sz w:val="22"/>
          <w:szCs w:val="22"/>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10" w:line="320"/>
        <w:jc w:val="both"/>
      </w:pPr>
      <w:r>
        <w:rPr>
          <w:rFonts w:ascii="Arial" w:cs="Arial" w:eastAsia="Arial" w:hAnsi="Arial"/>
          <w:sz w:val="22"/>
          <w:szCs w:val="22"/>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10" w:line="320"/>
        <w:jc w:val="both"/>
      </w:pPr>
      <w:r>
        <w:rPr>
          <w:rFonts w:ascii="Arial" w:cs="Arial" w:eastAsia="Arial" w:hAnsi="Arial"/>
          <w:sz w:val="22"/>
          <w:szCs w:val="22"/>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10" w:line="320"/>
        <w:jc w:val="both"/>
      </w:pPr>
      <w:r>
        <w:rPr>
          <w:rFonts w:ascii="Arial" w:cs="Arial" w:eastAsia="Arial" w:hAnsi="Arial"/>
          <w:sz w:val="22"/>
          <w:szCs w:val="22"/>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10" w:line="320"/>
        <w:jc w:val="both"/>
      </w:pPr>
      <w:r>
        <w:rPr>
          <w:rFonts w:ascii="Arial" w:cs="Arial" w:eastAsia="Arial" w:hAnsi="Arial"/>
          <w:sz w:val="22"/>
          <w:szCs w:val="22"/>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10" w:line="320"/>
        <w:jc w:val="both"/>
      </w:pPr>
      <w:r>
        <w:rPr>
          <w:rFonts w:ascii="Arial" w:cs="Arial" w:eastAsia="Arial" w:hAnsi="Arial"/>
          <w:sz w:val="22"/>
          <w:szCs w:val="22"/>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2"/>
          <w:szCs w:val="22"/>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10" w:line="320"/>
        <w:jc w:val="both"/>
      </w:pPr>
      <w:r>
        <w:rPr>
          <w:rFonts w:ascii="Arial" w:cs="Arial" w:eastAsia="Arial" w:hAnsi="Arial"/>
          <w:sz w:val="22"/>
          <w:szCs w:val="22"/>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pStyle w:val="Heading1"/>
        <w:spacing w:after="120" w:before="240"/>
      </w:pPr>
      <w:r>
        <w:rPr>
          <w:rFonts w:ascii="Arial" w:cs="Arial" w:eastAsia="Arial" w:hAnsi="Arial"/>
          <w:b/>
          <w:bCs/>
          <w:color w:val="1F3864"/>
          <w:sz w:val="26"/>
          <w:szCs w:val="26"/>
        </w:rPr>
        <w:t xml:space="preserve">8. Resultado de la sesión</w:t>
      </w:r>
    </w:p>
    <w:p>
      <w:pPr>
        <w:spacing w:after="110" w:line="300"/>
        <w:jc w:val="both"/>
      </w:pPr>
      <w:r>
        <w:rPr>
          <w:rFonts w:ascii="Arial" w:cs="Arial" w:eastAsia="Arial" w:hAnsi="Arial"/>
          <w:b/>
          <w:bCs/>
          <w:sz w:val="22"/>
          <w:szCs w:val="22"/>
        </w:rPr>
        <w:t xml:space="preserve">(a) Lo que se hizo.</w:t>
      </w:r>
      <w:r>
        <w:rPr>
          <w:rFonts w:ascii="Arial" w:cs="Arial" w:eastAsia="Arial" w:hAnsi="Arial"/>
          <w:sz w:val="22"/>
          <w:szCs w:val="22"/>
        </w:rPr>
        <w:t xml:space="preserve"> Se reforzó el TAM con evidencia del sector salud, se reescribieron los enfoques conceptuales con fuentes indexadas, se añadió el párrafo sobre grandes modelos de lenguaje y RAG, y se depuraron las referencias (43 en total, todas citadas, alrededor del 70 % indexadas). Todo quedó en el informe v5.</w:t>
      </w:r>
    </w:p>
    <w:p>
      <w:pPr>
        <w:spacing w:after="110" w:line="300"/>
        <w:jc w:val="both"/>
      </w:pPr>
      <w:r>
        <w:rPr>
          <w:rFonts w:ascii="Arial" w:cs="Arial" w:eastAsia="Arial" w:hAnsi="Arial"/>
          <w:b/>
          <w:bCs/>
          <w:sz w:val="22"/>
          <w:szCs w:val="22"/>
        </w:rPr>
        <w:t xml:space="preserve">(b) Lo que falta.</w:t>
      </w:r>
      <w:r>
        <w:rPr>
          <w:rFonts w:ascii="Arial" w:cs="Arial" w:eastAsia="Arial" w:hAnsi="Arial"/>
          <w:sz w:val="22"/>
          <w:szCs w:val="22"/>
        </w:rPr>
        <w:t xml:space="preserve"> El párrafo de arquitectura y metodología de desarrollo del sistema (resaltado en amarillo), una fuente para la definición de sistema web y la verificación en Scimago de las revistas "probable" y "verificar".</w:t>
      </w:r>
    </w:p>
    <w:p>
      <w:pPr>
        <w:spacing w:after="110" w:line="300"/>
        <w:jc w:val="both"/>
      </w:pPr>
      <w:r>
        <w:rPr>
          <w:rFonts w:ascii="Arial" w:cs="Arial" w:eastAsia="Arial" w:hAnsi="Arial"/>
          <w:b/>
          <w:bCs/>
          <w:sz w:val="22"/>
          <w:szCs w:val="22"/>
        </w:rPr>
        <w:t xml:space="preserve">(c) Qué necesito.</w:t>
      </w:r>
      <w:r>
        <w:rPr>
          <w:rFonts w:ascii="Arial" w:cs="Arial" w:eastAsia="Arial" w:hAnsi="Arial"/>
          <w:sz w:val="22"/>
          <w:szCs w:val="22"/>
        </w:rPr>
        <w:t xml:space="preserve"> (1) El stack del sistema (frontend, backend, base de datos, canal de los recordatorios, versión de Gemini, uso de n8n) y la metodología de desarrollo (Scrum, XP u otra). Con eso redacto el párrafo y su referencia. (2) Para la Sesión 5 (Matriz de consistencia), cualquier formato de matriz que exija el asesor, si difiere del Anexo 13 de la guía.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2026-09-26T21:31:03.681Z</dcterms:created>
  <dcterms:modified xsi:type="dcterms:W3CDTF">2026-09-26T21:31:03.681Z</dcterms:modified>
</cp:coreProperties>
</file>

<file path=docProps/custom.xml><?xml version="1.0" encoding="utf-8"?>
<Properties xmlns="http://schemas.openxmlformats.org/officeDocument/2006/custom-properties" xmlns:vt="http://schemas.openxmlformats.org/officeDocument/2006/docPropsVTypes"/>
</file>