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3864"/>
          <w:sz w:val="28"/>
          <w:szCs w:val="28"/>
        </w:rPr>
        <w:t xml:space="preserve">SESIÓN 2 — PLANTEAMIENTO DEL PROBLEMA, OBJETIVOS E HIPÓTESIS</w:t>
      </w:r>
    </w:p>
    <w:p>
      <w:pPr>
        <w:spacing w:after="60"/>
        <w:jc w:val="center"/>
      </w:pPr>
      <w:r>
        <w:rPr>
          <w:rFonts w:ascii="Arial" w:cs="Arial" w:eastAsia="Arial" w:hAnsi="Arial"/>
          <w:i/>
          <w:iCs/>
          <w:sz w:val="21"/>
          <w:szCs w:val="21"/>
        </w:rPr>
        <w:t xml:space="preserve">Sistema web con chatbot para la gestión de pacientes en una fundación oncológica privada de Lima, 2026</w:t>
      </w:r>
    </w:p>
    <w:p>
      <w:pPr>
        <w:pBdr>
          <w:bottom w:val="single" w:color="1F3864" w:sz="8" w:space="4"/>
        </w:pBdr>
        <w:spacing w:after="200"/>
        <w:jc w:val="center"/>
      </w:pPr>
      <w:r>
        <w:rPr>
          <w:rFonts w:ascii="Arial" w:cs="Arial" w:eastAsia="Arial" w:hAnsi="Arial"/>
          <w:color w:val="555555"/>
          <w:sz w:val="18"/>
          <w:szCs w:val="18"/>
        </w:rPr>
        <w:t xml:space="preserve">Arnao Fretel, Jasmin · Davila Anchante, Eros Matias · Asesor: Mgtr. Pérez Farfán, Iván Martín · 26/09/2026</w:t>
      </w:r>
    </w:p>
    <w:p>
      <w:pPr>
        <w:pStyle w:val="Heading1"/>
        <w:spacing w:after="120" w:before="240"/>
      </w:pPr>
      <w:r>
        <w:rPr>
          <w:rFonts w:ascii="Arial" w:cs="Arial" w:eastAsia="Arial" w:hAnsi="Arial"/>
          <w:b/>
          <w:bCs/>
          <w:color w:val="1F3864"/>
          <w:sz w:val="26"/>
          <w:szCs w:val="26"/>
        </w:rPr>
        <w:t xml:space="preserve">1. Punto de partida y criterio adoptado</w:t>
      </w:r>
    </w:p>
    <w:p>
      <w:pPr>
        <w:spacing w:after="110" w:line="300"/>
        <w:jc w:val="both"/>
      </w:pPr>
      <w:r>
        <w:rPr>
          <w:rFonts w:ascii="Arial" w:cs="Arial" w:eastAsia="Arial" w:hAnsi="Arial"/>
          <w:sz w:val="22"/>
          <w:szCs w:val="22"/>
        </w:rPr>
        <w:t xml:space="preserve">De la Sesión 1 quedaron pendientes la fuente del 65 % de ausentismo, la arquitectura y la metodología de desarrollo del sistema, la validación de los tres jueces y la decisión sobre el emparejamiento de sesiones; la adecuación de las referencias a SJR se trabajará en la Sesión 3.</w:t>
      </w:r>
    </w:p>
    <w:p>
      <w:pPr>
        <w:spacing w:after="110" w:line="300"/>
        <w:jc w:val="both"/>
      </w:pPr>
      <w:r>
        <w:rPr>
          <w:rFonts w:ascii="Arial" w:cs="Arial" w:eastAsia="Arial" w:hAnsi="Arial"/>
          <w:sz w:val="22"/>
          <w:szCs w:val="22"/>
        </w:rPr>
        <w:t xml:space="preserve">Por decisión de los autores, </w:t>
      </w:r>
      <w:r>
        <w:rPr>
          <w:rFonts w:ascii="Arial" w:cs="Arial" w:eastAsia="Arial" w:hAnsi="Arial"/>
          <w:b/>
          <w:bCs/>
          <w:sz w:val="22"/>
          <w:szCs w:val="22"/>
        </w:rPr>
        <w:t xml:space="preserve">el problema, los objetivos y las hipótesis se conservan con su redacción original</w:t>
      </w:r>
      <w:r>
        <w:rPr>
          <w:rFonts w:ascii="Arial" w:cs="Arial" w:eastAsia="Arial" w:hAnsi="Arial"/>
          <w:sz w:val="22"/>
          <w:szCs w:val="22"/>
        </w:rPr>
        <w:t xml:space="preserve"> (versión de Investigación I). En esta sesión no se modificó ninguna de las doce formulaciones; se verificó por programa que el informe v3 las reproduce palabra por palabra. Lo que sí se trabajó es todo lo que rodea a esas formulaciones dentro del planteamiento del problema: la realidad problemática, el ODS, la justificación, las frases que introducen cada bloque y la forma en que las hipótesis se contrastan estadísticamente.</w:t>
      </w:r>
    </w:p>
    <w:p>
      <w:pPr>
        <w:pStyle w:val="Heading1"/>
        <w:spacing w:after="120" w:before="240"/>
      </w:pPr>
      <w:r>
        <w:rPr>
          <w:rFonts w:ascii="Arial" w:cs="Arial" w:eastAsia="Arial" w:hAnsi="Arial"/>
          <w:b/>
          <w:bCs/>
          <w:color w:val="1F3864"/>
          <w:sz w:val="26"/>
          <w:szCs w:val="26"/>
        </w:rPr>
        <w:t xml:space="preserve">2. Qué se trabajó en esta sesión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4900"/>
        <w:gridCol w:w="1226"/>
      </w:tblGrid>
      <w:tr>
        <w:trPr>
          <w:cantSplit/>
          <w:tblHeader/>
        </w:trPr>
        <w:tc>
          <w:tcPr>
            <w:tcW w:type="dxa" w:w="2900"/>
            <w:tcBorders>
              <w:top w:val="single" w:color="999999" w:sz="4"/>
              <w:left w:val="single" w:color="999999" w:sz="4"/>
              <w:bottom w:val="single" w:color="999999" w:sz="4"/>
              <w:right w:val="single" w:color="999999" w:sz="4"/>
            </w:tcBorders>
            <w:shd w:fill="D5DCE4" w:color="auto" w:val="clear"/>
            <w:tcMar>
              <w:top w:type="dxa" w:w="50"/>
              <w:left w:type="dxa" w:w="80"/>
              <w:bottom w:type="dxa" w:w="50"/>
              <w:right w:type="dxa" w:w="80"/>
            </w:tcMar>
          </w:tcPr>
          <w:p>
            <w:pPr>
              <w:spacing w:after="20"/>
            </w:pPr>
            <w:r>
              <w:rPr>
                <w:rFonts w:ascii="Arial" w:cs="Arial" w:eastAsia="Arial" w:hAnsi="Arial"/>
                <w:b/>
                <w:bCs/>
                <w:sz w:val="17"/>
                <w:szCs w:val="17"/>
              </w:rPr>
              <w:t xml:space="preserve">Componente del planteamiento (guía V07, 5.2.3)</w:t>
            </w:r>
          </w:p>
        </w:tc>
        <w:tc>
          <w:tcPr>
            <w:tcW w:type="dxa" w:w="4900"/>
            <w:tcBorders>
              <w:top w:val="single" w:color="999999" w:sz="4"/>
              <w:left w:val="single" w:color="999999" w:sz="4"/>
              <w:bottom w:val="single" w:color="999999" w:sz="4"/>
              <w:right w:val="single" w:color="999999" w:sz="4"/>
            </w:tcBorders>
            <w:shd w:fill="D5DCE4" w:color="auto" w:val="clear"/>
            <w:tcMar>
              <w:top w:type="dxa" w:w="50"/>
              <w:left w:type="dxa" w:w="80"/>
              <w:bottom w:type="dxa" w:w="50"/>
              <w:right w:type="dxa" w:w="80"/>
            </w:tcMar>
          </w:tcPr>
          <w:p>
            <w:pPr>
              <w:spacing w:after="20"/>
            </w:pPr>
            <w:r>
              <w:rPr>
                <w:rFonts w:ascii="Arial" w:cs="Arial" w:eastAsia="Arial" w:hAnsi="Arial"/>
                <w:b/>
                <w:bCs/>
                <w:sz w:val="17"/>
                <w:szCs w:val="17"/>
              </w:rPr>
              <w:t xml:space="preserve">Tratamiento</w:t>
            </w:r>
          </w:p>
        </w:tc>
        <w:tc>
          <w:tcPr>
            <w:tcW w:type="dxa" w:w="1226"/>
            <w:tcBorders>
              <w:top w:val="single" w:color="999999" w:sz="4"/>
              <w:left w:val="single" w:color="999999" w:sz="4"/>
              <w:bottom w:val="single" w:color="999999" w:sz="4"/>
              <w:right w:val="single" w:color="999999" w:sz="4"/>
            </w:tcBorders>
            <w:shd w:fill="D5DCE4" w:color="auto" w:val="clear"/>
            <w:tcMar>
              <w:top w:type="dxa" w:w="50"/>
              <w:left w:type="dxa" w:w="80"/>
              <w:bottom w:type="dxa" w:w="50"/>
              <w:right w:type="dxa" w:w="80"/>
            </w:tcMar>
          </w:tcPr>
          <w:p>
            <w:pPr>
              <w:spacing w:after="20"/>
            </w:pPr>
            <w:r>
              <w:rPr>
                <w:rFonts w:ascii="Arial" w:cs="Arial" w:eastAsia="Arial" w:hAnsi="Arial"/>
                <w:b/>
                <w:bCs/>
                <w:sz w:val="17"/>
                <w:szCs w:val="17"/>
              </w:rPr>
              <w:t xml:space="preserve">Estado</w:t>
            </w:r>
          </w:p>
        </w:tc>
      </w:tr>
      <w:tr>
        <w:trPr>
          <w:cantSplit/>
          <w:tblHeader w:val="false"/>
        </w:trPr>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b w:val="false"/>
                <w:bCs w:val="false"/>
                <w:sz w:val="17"/>
                <w:szCs w:val="17"/>
              </w:rPr>
              <w:t xml:space="preserve">Realidad problemática internacional (pasado)</w:t>
            </w:r>
          </w:p>
        </w:tc>
        <w:tc>
          <w:tcPr>
            <w:tcW w:type="dxa" w:w="4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b w:val="false"/>
                <w:bCs w:val="false"/>
                <w:sz w:val="17"/>
                <w:szCs w:val="17"/>
              </w:rPr>
              <w:t xml:space="preserve">Seis párrafos: carga del cáncer, usos de chatbots, vacío en la literatura, evidencia en oncología, eficiencia operativa y ausentismo. Datos de Wah y Daly corregidos con la fuente.</w:t>
            </w:r>
          </w:p>
        </w:tc>
        <w:tc>
          <w:tcPr>
            <w:tcW w:type="dxa" w:w="1226"/>
            <w:tcBorders>
              <w:top w:val="single" w:color="999999" w:sz="4"/>
              <w:left w:val="single" w:color="999999" w:sz="4"/>
              <w:bottom w:val="single" w:color="999999" w:sz="4"/>
              <w:right w:val="single" w:color="999999" w:sz="4"/>
            </w:tcBorders>
            <w:shd w:fill="D9EAD3" w:color="auto" w:val="clear"/>
            <w:tcMar>
              <w:top w:type="dxa" w:w="50"/>
              <w:left w:type="dxa" w:w="80"/>
              <w:bottom w:type="dxa" w:w="50"/>
              <w:right w:type="dxa" w:w="80"/>
            </w:tcMar>
          </w:tcPr>
          <w:p>
            <w:pPr>
              <w:spacing w:after="20"/>
            </w:pPr>
            <w:r>
              <w:rPr>
                <w:rFonts w:ascii="Arial" w:cs="Arial" w:eastAsia="Arial" w:hAnsi="Arial"/>
                <w:b w:val="false"/>
                <w:bCs w:val="false"/>
                <w:sz w:val="17"/>
                <w:szCs w:val="17"/>
              </w:rPr>
              <w:t xml:space="preserve">Completo</w:t>
            </w:r>
          </w:p>
        </w:tc>
      </w:tr>
      <w:tr>
        <w:trPr>
          <w:cantSplit/>
          <w:tblHeader w:val="false"/>
        </w:trPr>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b w:val="false"/>
                <w:bCs w:val="false"/>
                <w:sz w:val="17"/>
                <w:szCs w:val="17"/>
              </w:rPr>
              <w:t xml:space="preserve">Realidad problemática nacional (pasado)</w:t>
            </w:r>
          </w:p>
        </w:tc>
        <w:tc>
          <w:tcPr>
            <w:tcW w:type="dxa" w:w="4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b w:val="false"/>
                <w:bCs w:val="false"/>
                <w:sz w:val="17"/>
                <w:szCs w:val="17"/>
              </w:rPr>
              <w:t xml:space="preserve">Soto Asencios et al. (19,64 % verificado) y trabajos de grado nacionales como evidencia del contexto local.</w:t>
            </w:r>
          </w:p>
        </w:tc>
        <w:tc>
          <w:tcPr>
            <w:tcW w:type="dxa" w:w="1226"/>
            <w:tcBorders>
              <w:top w:val="single" w:color="999999" w:sz="4"/>
              <w:left w:val="single" w:color="999999" w:sz="4"/>
              <w:bottom w:val="single" w:color="999999" w:sz="4"/>
              <w:right w:val="single" w:color="999999" w:sz="4"/>
            </w:tcBorders>
            <w:shd w:fill="D9EAD3" w:color="auto" w:val="clear"/>
            <w:tcMar>
              <w:top w:type="dxa" w:w="50"/>
              <w:left w:type="dxa" w:w="80"/>
              <w:bottom w:type="dxa" w:w="50"/>
              <w:right w:type="dxa" w:w="80"/>
            </w:tcMar>
          </w:tcPr>
          <w:p>
            <w:pPr>
              <w:spacing w:after="20"/>
            </w:pPr>
            <w:r>
              <w:rPr>
                <w:rFonts w:ascii="Arial" w:cs="Arial" w:eastAsia="Arial" w:hAnsi="Arial"/>
                <w:b w:val="false"/>
                <w:bCs w:val="false"/>
                <w:sz w:val="17"/>
                <w:szCs w:val="17"/>
              </w:rPr>
              <w:t xml:space="preserve">Completo</w:t>
            </w:r>
          </w:p>
        </w:tc>
      </w:tr>
      <w:tr>
        <w:trPr>
          <w:cantSplit/>
          <w:tblHeader w:val="false"/>
        </w:trPr>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b w:val="false"/>
                <w:bCs w:val="false"/>
                <w:sz w:val="17"/>
                <w:szCs w:val="17"/>
              </w:rPr>
              <w:t xml:space="preserve">Realidad local (fundación)</w:t>
            </w:r>
          </w:p>
        </w:tc>
        <w:tc>
          <w:tcPr>
            <w:tcW w:type="dxa" w:w="4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b w:val="false"/>
                <w:bCs w:val="false"/>
                <w:sz w:val="17"/>
                <w:szCs w:val="17"/>
              </w:rPr>
              <w:t xml:space="preserve">Descripción del proceso manual y del 65 % de ausentismo; se añadió un espacio para datos de dimensionamiento (personal, volúmenes, tiempo de registro manual).</w:t>
            </w:r>
          </w:p>
        </w:tc>
        <w:tc>
          <w:tcPr>
            <w:tcW w:type="dxa" w:w="1226"/>
            <w:tcBorders>
              <w:top w:val="single" w:color="999999" w:sz="4"/>
              <w:left w:val="single" w:color="999999" w:sz="4"/>
              <w:bottom w:val="single" w:color="999999" w:sz="4"/>
              <w:right w:val="single" w:color="999999" w:sz="4"/>
            </w:tcBorders>
            <w:shd w:fill="FCE8B2" w:color="auto" w:val="clear"/>
            <w:tcMar>
              <w:top w:type="dxa" w:w="50"/>
              <w:left w:type="dxa" w:w="80"/>
              <w:bottom w:type="dxa" w:w="50"/>
              <w:right w:type="dxa" w:w="80"/>
            </w:tcMar>
          </w:tcPr>
          <w:p>
            <w:pPr>
              <w:spacing w:after="20"/>
            </w:pPr>
            <w:r>
              <w:rPr>
                <w:rFonts w:ascii="Arial" w:cs="Arial" w:eastAsia="Arial" w:hAnsi="Arial"/>
                <w:b w:val="false"/>
                <w:bCs w:val="false"/>
                <w:sz w:val="17"/>
                <w:szCs w:val="17"/>
              </w:rPr>
              <w:t xml:space="preserve">Pendiente de datos</w:t>
            </w:r>
          </w:p>
        </w:tc>
      </w:tr>
      <w:tr>
        <w:trPr>
          <w:cantSplit/>
          <w:tblHeader w:val="false"/>
        </w:trPr>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b w:val="false"/>
                <w:bCs w:val="false"/>
                <w:sz w:val="17"/>
                <w:szCs w:val="17"/>
              </w:rPr>
              <w:t xml:space="preserve">Proyección del problema</w:t>
            </w:r>
          </w:p>
        </w:tc>
        <w:tc>
          <w:tcPr>
            <w:tcW w:type="dxa" w:w="4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b w:val="false"/>
                <w:bCs w:val="false"/>
                <w:sz w:val="17"/>
                <w:szCs w:val="17"/>
              </w:rPr>
              <w:t xml:space="preserve">Párrafo nuevo sobre lo que ocurriría si no se interviene, que enlaza con la propuesta del sistema.</w:t>
            </w:r>
          </w:p>
        </w:tc>
        <w:tc>
          <w:tcPr>
            <w:tcW w:type="dxa" w:w="1226"/>
            <w:tcBorders>
              <w:top w:val="single" w:color="999999" w:sz="4"/>
              <w:left w:val="single" w:color="999999" w:sz="4"/>
              <w:bottom w:val="single" w:color="999999" w:sz="4"/>
              <w:right w:val="single" w:color="999999" w:sz="4"/>
            </w:tcBorders>
            <w:shd w:fill="D9EAD3" w:color="auto" w:val="clear"/>
            <w:tcMar>
              <w:top w:type="dxa" w:w="50"/>
              <w:left w:type="dxa" w:w="80"/>
              <w:bottom w:type="dxa" w:w="50"/>
              <w:right w:type="dxa" w:w="80"/>
            </w:tcMar>
          </w:tcPr>
          <w:p>
            <w:pPr>
              <w:spacing w:after="20"/>
            </w:pPr>
            <w:r>
              <w:rPr>
                <w:rFonts w:ascii="Arial" w:cs="Arial" w:eastAsia="Arial" w:hAnsi="Arial"/>
                <w:b w:val="false"/>
                <w:bCs w:val="false"/>
                <w:sz w:val="17"/>
                <w:szCs w:val="17"/>
              </w:rPr>
              <w:t xml:space="preserve">Nuevo</w:t>
            </w:r>
          </w:p>
        </w:tc>
      </w:tr>
      <w:tr>
        <w:trPr>
          <w:cantSplit/>
          <w:tblHeader w:val="false"/>
        </w:trPr>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b w:val="false"/>
                <w:bCs w:val="false"/>
                <w:sz w:val="17"/>
                <w:szCs w:val="17"/>
              </w:rPr>
              <w:t xml:space="preserve">Criterios de la guía (Anexo 2)</w:t>
            </w:r>
          </w:p>
        </w:tc>
        <w:tc>
          <w:tcPr>
            <w:tcW w:type="dxa" w:w="4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b w:val="false"/>
                <w:bCs w:val="false"/>
                <w:sz w:val="17"/>
                <w:szCs w:val="17"/>
              </w:rPr>
              <w:t xml:space="preserve">Se declaran explícitamente el vacío de conocimiento y la falta de contextualización.</w:t>
            </w:r>
          </w:p>
        </w:tc>
        <w:tc>
          <w:tcPr>
            <w:tcW w:type="dxa" w:w="1226"/>
            <w:tcBorders>
              <w:top w:val="single" w:color="999999" w:sz="4"/>
              <w:left w:val="single" w:color="999999" w:sz="4"/>
              <w:bottom w:val="single" w:color="999999" w:sz="4"/>
              <w:right w:val="single" w:color="999999" w:sz="4"/>
            </w:tcBorders>
            <w:shd w:fill="D9EAD3" w:color="auto" w:val="clear"/>
            <w:tcMar>
              <w:top w:type="dxa" w:w="50"/>
              <w:left w:type="dxa" w:w="80"/>
              <w:bottom w:type="dxa" w:w="50"/>
              <w:right w:type="dxa" w:w="80"/>
            </w:tcMar>
          </w:tcPr>
          <w:p>
            <w:pPr>
              <w:spacing w:after="20"/>
            </w:pPr>
            <w:r>
              <w:rPr>
                <w:rFonts w:ascii="Arial" w:cs="Arial" w:eastAsia="Arial" w:hAnsi="Arial"/>
                <w:b w:val="false"/>
                <w:bCs w:val="false"/>
                <w:sz w:val="17"/>
                <w:szCs w:val="17"/>
              </w:rPr>
              <w:t xml:space="preserve">Completo</w:t>
            </w:r>
          </w:p>
        </w:tc>
      </w:tr>
      <w:tr>
        <w:trPr>
          <w:cantSplit/>
          <w:tblHeader w:val="false"/>
        </w:trPr>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b w:val="false"/>
                <w:bCs w:val="false"/>
                <w:sz w:val="17"/>
                <w:szCs w:val="17"/>
              </w:rPr>
              <w:t xml:space="preserve">ODS (futuro o infinitivo)</w:t>
            </w:r>
          </w:p>
        </w:tc>
        <w:tc>
          <w:tcPr>
            <w:tcW w:type="dxa" w:w="4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b w:val="false"/>
                <w:bCs w:val="false"/>
                <w:sz w:val="17"/>
                <w:szCs w:val="17"/>
              </w:rPr>
              <w:t xml:space="preserve">ODS 3, meta 3.8, como principal y ODS 9, meta 9.5, como complementario, con cita a la Agenda 2030.</w:t>
            </w:r>
          </w:p>
        </w:tc>
        <w:tc>
          <w:tcPr>
            <w:tcW w:type="dxa" w:w="1226"/>
            <w:tcBorders>
              <w:top w:val="single" w:color="999999" w:sz="4"/>
              <w:left w:val="single" w:color="999999" w:sz="4"/>
              <w:bottom w:val="single" w:color="999999" w:sz="4"/>
              <w:right w:val="single" w:color="999999" w:sz="4"/>
            </w:tcBorders>
            <w:shd w:fill="D9EAD3" w:color="auto" w:val="clear"/>
            <w:tcMar>
              <w:top w:type="dxa" w:w="50"/>
              <w:left w:type="dxa" w:w="80"/>
              <w:bottom w:type="dxa" w:w="50"/>
              <w:right w:type="dxa" w:w="80"/>
            </w:tcMar>
          </w:tcPr>
          <w:p>
            <w:pPr>
              <w:spacing w:after="20"/>
            </w:pPr>
            <w:r>
              <w:rPr>
                <w:rFonts w:ascii="Arial" w:cs="Arial" w:eastAsia="Arial" w:hAnsi="Arial"/>
                <w:b w:val="false"/>
                <w:bCs w:val="false"/>
                <w:sz w:val="17"/>
                <w:szCs w:val="17"/>
              </w:rPr>
              <w:t xml:space="preserve">Completo</w:t>
            </w:r>
          </w:p>
        </w:tc>
      </w:tr>
      <w:tr>
        <w:trPr>
          <w:cantSplit/>
          <w:tblHeader w:val="false"/>
        </w:trPr>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b w:val="false"/>
                <w:bCs w:val="false"/>
                <w:sz w:val="17"/>
                <w:szCs w:val="17"/>
              </w:rPr>
              <w:t xml:space="preserve">Problema general y específicos</w:t>
            </w:r>
          </w:p>
        </w:tc>
        <w:tc>
          <w:tcPr>
            <w:tcW w:type="dxa" w:w="4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b/>
                <w:bCs/>
                <w:sz w:val="17"/>
                <w:szCs w:val="17"/>
              </w:rPr>
              <w:t xml:space="preserve">Redacción original conservada.</w:t>
            </w:r>
            <w:r>
              <w:rPr>
                <w:rFonts w:ascii="Arial" w:cs="Arial" w:eastAsia="Arial" w:hAnsi="Arial"/>
                <w:b w:val="false"/>
                <w:bCs w:val="false"/>
                <w:sz w:val="17"/>
                <w:szCs w:val="17"/>
              </w:rPr>
              <w:t xml:space="preserve"> Solo se ajustó la frase de enlace ("A partir de la situación descrita…").</w:t>
            </w:r>
          </w:p>
        </w:tc>
        <w:tc>
          <w:tcPr>
            <w:tcW w:type="dxa" w:w="1226"/>
            <w:tcBorders>
              <w:top w:val="single" w:color="999999" w:sz="4"/>
              <w:left w:val="single" w:color="999999" w:sz="4"/>
              <w:bottom w:val="single" w:color="999999" w:sz="4"/>
              <w:right w:val="single" w:color="999999" w:sz="4"/>
            </w:tcBorders>
            <w:shd w:fill="DDEBF7" w:color="auto" w:val="clear"/>
            <w:tcMar>
              <w:top w:type="dxa" w:w="50"/>
              <w:left w:type="dxa" w:w="80"/>
              <w:bottom w:type="dxa" w:w="50"/>
              <w:right w:type="dxa" w:w="80"/>
            </w:tcMar>
          </w:tcPr>
          <w:p>
            <w:pPr>
              <w:spacing w:after="20"/>
            </w:pPr>
            <w:r>
              <w:rPr>
                <w:rFonts w:ascii="Arial" w:cs="Arial" w:eastAsia="Arial" w:hAnsi="Arial"/>
                <w:b w:val="false"/>
                <w:bCs w:val="false"/>
                <w:sz w:val="17"/>
                <w:szCs w:val="17"/>
              </w:rPr>
              <w:t xml:space="preserve">Conservado</w:t>
            </w:r>
          </w:p>
        </w:tc>
      </w:tr>
      <w:tr>
        <w:trPr>
          <w:cantSplit/>
          <w:tblHeader w:val="false"/>
        </w:trPr>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b w:val="false"/>
                <w:bCs w:val="false"/>
                <w:sz w:val="17"/>
                <w:szCs w:val="17"/>
              </w:rPr>
              <w:t xml:space="preserve">Justificación (presente)</w:t>
            </w:r>
          </w:p>
        </w:tc>
        <w:tc>
          <w:tcPr>
            <w:tcW w:type="dxa" w:w="4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b w:val="false"/>
                <w:bCs w:val="false"/>
                <w:sz w:val="17"/>
                <w:szCs w:val="17"/>
              </w:rPr>
              <w:t xml:space="preserve">Teórica, práctica y metodológica; se eliminó la contradicción "reducir… el nivel de consultas atendidas".</w:t>
            </w:r>
          </w:p>
        </w:tc>
        <w:tc>
          <w:tcPr>
            <w:tcW w:type="dxa" w:w="1226"/>
            <w:tcBorders>
              <w:top w:val="single" w:color="999999" w:sz="4"/>
              <w:left w:val="single" w:color="999999" w:sz="4"/>
              <w:bottom w:val="single" w:color="999999" w:sz="4"/>
              <w:right w:val="single" w:color="999999" w:sz="4"/>
            </w:tcBorders>
            <w:shd w:fill="D9EAD3" w:color="auto" w:val="clear"/>
            <w:tcMar>
              <w:top w:type="dxa" w:w="50"/>
              <w:left w:type="dxa" w:w="80"/>
              <w:bottom w:type="dxa" w:w="50"/>
              <w:right w:type="dxa" w:w="80"/>
            </w:tcMar>
          </w:tcPr>
          <w:p>
            <w:pPr>
              <w:spacing w:after="20"/>
            </w:pPr>
            <w:r>
              <w:rPr>
                <w:rFonts w:ascii="Arial" w:cs="Arial" w:eastAsia="Arial" w:hAnsi="Arial"/>
                <w:b w:val="false"/>
                <w:bCs w:val="false"/>
                <w:sz w:val="17"/>
                <w:szCs w:val="17"/>
              </w:rPr>
              <w:t xml:space="preserve">Completo</w:t>
            </w:r>
          </w:p>
        </w:tc>
      </w:tr>
      <w:tr>
        <w:trPr>
          <w:cantSplit/>
          <w:tblHeader w:val="false"/>
        </w:trPr>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b w:val="false"/>
                <w:bCs w:val="false"/>
                <w:sz w:val="17"/>
                <w:szCs w:val="17"/>
              </w:rPr>
              <w:t xml:space="preserve">Objetivo general y específicos</w:t>
            </w:r>
          </w:p>
        </w:tc>
        <w:tc>
          <w:tcPr>
            <w:tcW w:type="dxa" w:w="4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b/>
                <w:bCs/>
                <w:sz w:val="17"/>
                <w:szCs w:val="17"/>
              </w:rPr>
              <w:t xml:space="preserve">Redacción original conservada.</w:t>
            </w:r>
            <w:r>
              <w:rPr>
                <w:rFonts w:ascii="Arial" w:cs="Arial" w:eastAsia="Arial" w:hAnsi="Arial"/>
                <w:b w:val="false"/>
                <w:bCs w:val="false"/>
                <w:sz w:val="17"/>
                <w:szCs w:val="17"/>
              </w:rPr>
              <w:t xml:space="preserve"> Frase de enlace en pasado ("…los objetivos que guiaron el estudio…").</w:t>
            </w:r>
          </w:p>
        </w:tc>
        <w:tc>
          <w:tcPr>
            <w:tcW w:type="dxa" w:w="1226"/>
            <w:tcBorders>
              <w:top w:val="single" w:color="999999" w:sz="4"/>
              <w:left w:val="single" w:color="999999" w:sz="4"/>
              <w:bottom w:val="single" w:color="999999" w:sz="4"/>
              <w:right w:val="single" w:color="999999" w:sz="4"/>
            </w:tcBorders>
            <w:shd w:fill="DDEBF7" w:color="auto" w:val="clear"/>
            <w:tcMar>
              <w:top w:type="dxa" w:w="50"/>
              <w:left w:type="dxa" w:w="80"/>
              <w:bottom w:type="dxa" w:w="50"/>
              <w:right w:type="dxa" w:w="80"/>
            </w:tcMar>
          </w:tcPr>
          <w:p>
            <w:pPr>
              <w:spacing w:after="20"/>
            </w:pPr>
            <w:r>
              <w:rPr>
                <w:rFonts w:ascii="Arial" w:cs="Arial" w:eastAsia="Arial" w:hAnsi="Arial"/>
                <w:b w:val="false"/>
                <w:bCs w:val="false"/>
                <w:sz w:val="17"/>
                <w:szCs w:val="17"/>
              </w:rPr>
              <w:t xml:space="preserve">Conservado</w:t>
            </w:r>
          </w:p>
        </w:tc>
      </w:tr>
      <w:tr>
        <w:trPr>
          <w:cantSplit/>
          <w:tblHeader w:val="false"/>
        </w:trPr>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b w:val="false"/>
                <w:bCs w:val="false"/>
                <w:sz w:val="17"/>
                <w:szCs w:val="17"/>
              </w:rPr>
              <w:t xml:space="preserve">Hipótesis</w:t>
            </w:r>
          </w:p>
        </w:tc>
        <w:tc>
          <w:tcPr>
            <w:tcW w:type="dxa" w:w="4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b/>
                <w:bCs/>
                <w:sz w:val="17"/>
                <w:szCs w:val="17"/>
              </w:rPr>
              <w:t xml:space="preserve">Redacción original conservada</w:t>
            </w:r>
            <w:r>
              <w:rPr>
                <w:rFonts w:ascii="Arial" w:cs="Arial" w:eastAsia="Arial" w:hAnsi="Arial"/>
                <w:b w:val="false"/>
                <w:bCs w:val="false"/>
                <w:sz w:val="17"/>
                <w:szCs w:val="17"/>
              </w:rPr>
              <w:t xml:space="preserve">, precedida de su fundamento en los antecedentes; en la metodología se precisa cómo se contrasta "mejora".</w:t>
            </w:r>
          </w:p>
        </w:tc>
        <w:tc>
          <w:tcPr>
            <w:tcW w:type="dxa" w:w="1226"/>
            <w:tcBorders>
              <w:top w:val="single" w:color="999999" w:sz="4"/>
              <w:left w:val="single" w:color="999999" w:sz="4"/>
              <w:bottom w:val="single" w:color="999999" w:sz="4"/>
              <w:right w:val="single" w:color="999999" w:sz="4"/>
            </w:tcBorders>
            <w:shd w:fill="DDEBF7" w:color="auto" w:val="clear"/>
            <w:tcMar>
              <w:top w:type="dxa" w:w="50"/>
              <w:left w:type="dxa" w:w="80"/>
              <w:bottom w:type="dxa" w:w="50"/>
              <w:right w:type="dxa" w:w="80"/>
            </w:tcMar>
          </w:tcPr>
          <w:p>
            <w:pPr>
              <w:spacing w:after="20"/>
            </w:pPr>
            <w:r>
              <w:rPr>
                <w:rFonts w:ascii="Arial" w:cs="Arial" w:eastAsia="Arial" w:hAnsi="Arial"/>
                <w:b w:val="false"/>
                <w:bCs w:val="false"/>
                <w:sz w:val="17"/>
                <w:szCs w:val="17"/>
              </w:rPr>
              <w:t xml:space="preserve">Conservado</w:t>
            </w:r>
          </w:p>
        </w:tc>
      </w:tr>
    </w:tbl>
    <w:p>
      <w:pPr>
        <w:pStyle w:val="Heading1"/>
        <w:spacing w:after="120" w:before="240"/>
      </w:pPr>
      <w:r>
        <w:rPr>
          <w:rFonts w:ascii="Arial" w:cs="Arial" w:eastAsia="Arial" w:hAnsi="Arial"/>
          <w:b/>
          <w:bCs/>
          <w:color w:val="1F3864"/>
          <w:sz w:val="26"/>
          <w:szCs w:val="26"/>
        </w:rPr>
        <w:t xml:space="preserve">3. Texto del planteamiento del problema (tal como queda en el informe v3)</w:t>
      </w:r>
    </w:p>
    <w:p>
      <w:pPr>
        <w:spacing w:after="110" w:line="300"/>
        <w:jc w:val="both"/>
      </w:pPr>
      <w:r>
        <w:rPr>
          <w:rFonts w:ascii="Arial" w:cs="Arial" w:eastAsia="Arial" w:hAnsi="Arial"/>
          <w:sz w:val="20"/>
          <w:szCs w:val="20"/>
        </w:rPr>
        <w:t xml:space="preserve">El siguiente texto corresponde a la primera parte del capítulo I. Introducción, más el párrafo de hipótesis que cierra el capítulo (≈ 2217 palabras). Los antecedentes y las teorías, que van entre ambos bloques, se trabajarán en las Sesiones 3 y 4. La numeración de las citas es la misma del informe.</w:t>
      </w:r>
    </w:p>
    <w:p>
      <w:pPr>
        <w:spacing w:after="110" w:line="320"/>
        <w:jc w:val="both"/>
      </w:pPr>
      <w:r>
        <w:rPr>
          <w:rFonts w:ascii="Arial" w:cs="Arial" w:eastAsia="Arial" w:hAnsi="Arial"/>
          <w:sz w:val="22"/>
          <w:szCs w:val="22"/>
        </w:rPr>
        <w:t xml:space="preserve">La gestión de los servicios de salud se consolidó, en los últimos años, como uno de los principales desafíos de las instituciones sanitarias, y el campo oncológico no fue la excepción. En 2022, el cáncer figuró entre las principales causas de mortalidad en el mundo, y apenas diez de sus tipos concentraron cerca de dos tercios de los casos nuevos y de las defunciones registradas ese año [1]. Una carga de esa magnitud no solo exigió respuestas clínicas; también tensionó los procesos administrativos que sostienen la atención, porque cada paciente nuevo supuso un registro adicional, una secuencia de citas por programar y un flujo constante de consultas por responder.</w:t>
      </w:r>
    </w:p>
    <w:p>
      <w:pPr>
        <w:spacing w:after="110" w:line="320"/>
        <w:jc w:val="both"/>
      </w:pPr>
      <w:r>
        <w:rPr>
          <w:rFonts w:ascii="Arial" w:cs="Arial" w:eastAsia="Arial" w:hAnsi="Arial"/>
          <w:sz w:val="22"/>
          <w:szCs w:val="22"/>
        </w:rPr>
        <w:t xml:space="preserve">Frente a esa presión, muchas instituciones de salud optaron por incorporar herramientas digitales. Nadarzynski et al. [2], en una revisión rápida sobre el papel de los chatbots en la atención sanitaria, encontraron que estas herramientas se emplearon principalmente en dos frentes: por un lado, la prestación de servicios remotos de apoyo al paciente, incluido el seguimiento de enfermedades crónicas; por otro, el soporte a tareas administrativas en clínicas, hospitales y otros establecimientos. Este segundo uso resultó especialmente relevante para organizaciones con alta carga operativa, donde un mismo equipo administrativo asumía a la vez el registro de pacientes, la programación de citas y la atención de consultas, y donde la dependencia de procedimientos manuales tendía a alargar los tiempos de atención.</w:t>
      </w:r>
    </w:p>
    <w:p>
      <w:pPr>
        <w:spacing w:after="110" w:line="320"/>
        <w:jc w:val="both"/>
      </w:pPr>
      <w:r>
        <w:rPr>
          <w:rFonts w:ascii="Arial" w:cs="Arial" w:eastAsia="Arial" w:hAnsi="Arial"/>
          <w:sz w:val="22"/>
          <w:szCs w:val="22"/>
        </w:rPr>
        <w:t xml:space="preserve">La literatura, sin embargo, mostró una distribución desigual del interés científico. La revisión bibliométrica de Cortés Torres et al. [3], que examinó cincuenta artículos sobre chatbots aplicados a la salud, evidenció que la mayor parte de los estudios se concentró en la salud mental y en la educación médica, con predominio de enfoques descriptivos, experimentales y cuantitativos. Han y Zhao [4] llegaron a una conclusión convergente desde un análisis bibliométrico centrado específicamente en salud mental. En contraste, la aplicación de agentes conversacionales a la gestión administrativa de pacientes oncológicos recibió bastante menos atención, lo que dejó abierto un vacío de conocimiento que la presente investigación buscó atender.</w:t>
      </w:r>
    </w:p>
    <w:p>
      <w:pPr>
        <w:spacing w:after="110" w:line="320"/>
        <w:jc w:val="both"/>
      </w:pPr>
      <w:r>
        <w:rPr>
          <w:rFonts w:ascii="Arial" w:cs="Arial" w:eastAsia="Arial" w:hAnsi="Arial"/>
          <w:sz w:val="22"/>
          <w:szCs w:val="22"/>
        </w:rPr>
        <w:t xml:space="preserve">Aun así, los hallazgos disponibles fueron alentadores. Kurniawan et al. [5], en una revisión sistemática sobre intervenciones con chatbots impulsados por inteligencia artificial para el manejo de enfermedades crónicas, reportaron mejoras en la adherencia terapéutica y en el seguimiento continuo de los pacientes, atribuidas en buena medida a los recordatorios automatizados y a la disponibilidad permanente de un canal de comunicación con la institución. En el ámbito oncológico, Wang et al. [6] documentaron, mediante una revisión narrativa, que los chatbots se utilizaron a lo largo de todo el proceso de atención del paciente con cáncer, desde la prevención y el tamizaje hasta el seguimiento durante el tratamiento, con niveles favorables de satisfacción y una comunicación más fluida. Taton [1], por su parte, matizó este optimismo al advertir, desde el propio título de su revisión, que no todo lo que ofrecen estas herramientas representa una ventaja, y examinó tanto sus beneficios como sus limitaciones en aplicaciones oncológicas.</w:t>
      </w:r>
    </w:p>
    <w:p>
      <w:pPr>
        <w:spacing w:after="110" w:line="320"/>
        <w:jc w:val="both"/>
      </w:pPr>
      <w:r>
        <w:rPr>
          <w:rFonts w:ascii="Arial" w:cs="Arial" w:eastAsia="Arial" w:hAnsi="Arial"/>
          <w:sz w:val="22"/>
          <w:szCs w:val="22"/>
        </w:rPr>
        <w:t xml:space="preserve">La evidencia sobre eficiencia operativa apuntó en la misma dirección. Wah [7] revisó 29 estudios publicados principalmente entre 2022 y 2025 sobre chatbots híbridos, es decir, sistemas que combinan inteligencia artificial con intervención humana, y reportó reducciones de hasta 25 % en los reingresos hospitalarios, un incremento de 30 % en el compromiso de los pacientes con su atención y una disminución de 15 % en los tiempos de espera de las consultas. Estas cifras sugirieron que el valor de un agente conversacional no reside únicamente en responder preguntas, sino en reorganizar la dinámica de atención de un establecimiento.</w:t>
      </w:r>
    </w:p>
    <w:p>
      <w:pPr>
        <w:spacing w:after="110" w:line="320"/>
        <w:jc w:val="both"/>
      </w:pPr>
      <w:r>
        <w:rPr>
          <w:rFonts w:ascii="Arial" w:cs="Arial" w:eastAsia="Arial" w:hAnsi="Arial"/>
          <w:sz w:val="22"/>
          <w:szCs w:val="22"/>
        </w:rPr>
        <w:t xml:space="preserve">El ausentismo a las citas programadas constituyó otro problema persistente para los sistemas de salud. Alturbag [8], en una revisión narrativa sobre las causas de inasistencia a citas hospitalarias, identificó el olvido como uno de los motivos más frecuentes </w:t>
      </w:r>
      <w:r>
        <w:rPr>
          <w:rFonts w:ascii="Arial" w:cs="Arial" w:eastAsia="Arial" w:hAnsi="Arial"/>
          <w:sz w:val="22"/>
          <w:szCs w:val="22"/>
          <w:highlight w:val="yellow"/>
        </w:rPr>
        <w:t xml:space="preserve">(verificar en el texto original el porcentaje de 44 % consignado en la versión anterior)</w:t>
      </w:r>
      <w:r>
        <w:rPr>
          <w:rFonts w:ascii="Arial" w:cs="Arial" w:eastAsia="Arial" w:hAnsi="Arial"/>
          <w:sz w:val="22"/>
          <w:szCs w:val="22"/>
        </w:rPr>
        <w:t xml:space="preserve">. Este hallazgo tuvo una implicancia práctica directa, pues una parte importante de las inasistencias no obedeció a factores clínicos ni al desinterés del paciente, sino a fallas de comunicación que podían prevenirse con avisos oportunos. McMullen y Netland [9] añadieron un elemento complementario al observar, en un servicio oftalmológico, que cuanto mayor era el tiempo transcurrido entre la programación de la cita y la fecha de atención, mayor era la frecuencia de inasistencias; de ello se desprendió que la gestión del agendamiento y el uso de recordatorios debían abordarse de manera conjunta.</w:t>
      </w:r>
    </w:p>
    <w:p>
      <w:pPr>
        <w:spacing w:after="110" w:line="320"/>
        <w:jc w:val="both"/>
      </w:pPr>
      <w:r>
        <w:rPr>
          <w:rFonts w:ascii="Arial" w:cs="Arial" w:eastAsia="Arial" w:hAnsi="Arial"/>
          <w:sz w:val="22"/>
          <w:szCs w:val="22"/>
        </w:rPr>
        <w:t xml:space="preserve">En el Perú, el problema adquirió dimensiones igualmente relevantes. Soto Asencios et al. [10], en un estudio de casos y controles realizado en el Hospital Nacional Daniel Alcides Carrión, en el Callao, registraron 2 963 pacientes que no acudieron a su cita de consulta externa frente a 12 125 que sí asistieron, lo que representó una proporción de ausentismo de 19,64 %. Además del costo que supone cada cupo perdido, esta cifra reflejó una debilidad en los mecanismos de comunicación entre el establecimiento y sus pacientes.</w:t>
      </w:r>
    </w:p>
    <w:p>
      <w:pPr>
        <w:spacing w:after="110" w:line="320"/>
        <w:jc w:val="both"/>
      </w:pPr>
      <w:r>
        <w:rPr>
          <w:rFonts w:ascii="Arial" w:cs="Arial" w:eastAsia="Arial" w:hAnsi="Arial"/>
          <w:sz w:val="22"/>
          <w:szCs w:val="22"/>
        </w:rPr>
        <w:t xml:space="preserve">Diversos trabajos de grado desarrollados en Lima ofrecieron evidencia local sobre el efecto de la digitalización en la gestión de citas. Dávila Colán [11] analizó la relación entre la gestión de citas médicas vía web y la calidad de atención en un hospital pediátrico; Torres Mendoza [12] y Asencios [13] implementaron sistemas web para el control de citas en servicios odontológicos; Coronado Mendoza y Cavero Álvarez [14] reportaron mejoras en la reserva de citas del Centro de Salud Cruz de Motupe tras implementar una plataforma web; y Cuya Camacho [15], bajo un diseño preexperimental, documentó reducciones considerables en los tiempos de búsqueda, procesamiento y generación de información en un establecimiento de salud de Villa El Salvador. En el terreno de los agentes conversacionales, Bacilio Ruiz [16] evaluó el uso de un chatbot para el seguimiento de personal de salud en un ensayo clínico de profilaxis frente a la COVID-19. Aunque estos estudios confirmaron el interés por automatizar la gestión de citas en el país, ninguno abordó de forma integrada el registro, el agendamiento y la atención de consultas en una institución oncológica privada de pequeña escala.</w:t>
      </w:r>
    </w:p>
    <w:p>
      <w:pPr>
        <w:spacing w:after="110" w:line="320"/>
        <w:jc w:val="both"/>
      </w:pPr>
      <w:r>
        <w:rPr>
          <w:rFonts w:ascii="Arial" w:cs="Arial" w:eastAsia="Arial" w:hAnsi="Arial"/>
          <w:sz w:val="22"/>
          <w:szCs w:val="22"/>
        </w:rPr>
        <w:t xml:space="preserve">La fundación oncológica privada de Lima donde se desarrolló el estudio no fue ajena a esta problemática. Antes de la intervención, la institución no contaba con un sistema informático orientado a la gestión de sus pacientes: los datos de registro, seguimiento y programación de citas se administraban en hojas de cálculo, y las consultas de los pacientes se atendían de forma presencial, telefónica o a través de mensajería institucional. Esta situación se tradujo en tiempos de registro prolongados por el ingreso manual de datos, en la acumulación de pacientes en los puntos de atención y en una tasa de ausentismo que, según </w:t>
      </w:r>
      <w:r>
        <w:rPr>
          <w:rFonts w:ascii="Arial" w:cs="Arial" w:eastAsia="Arial" w:hAnsi="Arial"/>
          <w:sz w:val="22"/>
          <w:szCs w:val="22"/>
          <w:highlight w:val="yellow"/>
        </w:rPr>
        <w:t xml:space="preserve">registros internos de la institución (precisar documento, periodo y número de citas)</w:t>
      </w:r>
      <w:r>
        <w:rPr>
          <w:rFonts w:ascii="Arial" w:cs="Arial" w:eastAsia="Arial" w:hAnsi="Arial"/>
          <w:sz w:val="22"/>
          <w:szCs w:val="22"/>
        </w:rPr>
        <w:t xml:space="preserve">, alcanzó el 65 %, atribuida en gran medida a la falta de mecanismos automatizados de recordatorio. </w:t>
      </w:r>
      <w:r>
        <w:rPr>
          <w:rFonts w:ascii="Arial" w:cs="Arial" w:eastAsia="Arial" w:hAnsi="Arial"/>
          <w:sz w:val="22"/>
          <w:szCs w:val="22"/>
          <w:highlight w:val="yellow"/>
        </w:rPr>
        <w:t xml:space="preserve">Añadir datos reales de dimensionamiento: número de personas que atienden el registro y las citas, volumen mensual aproximado de registros, citas y consultas, y tiempo que tomaba un registro manual según la observación previa o el testimonio del personal.</w:t>
      </w:r>
      <w:r>
        <w:rPr>
          <w:rFonts w:ascii="Arial" w:cs="Arial" w:eastAsia="Arial" w:hAnsi="Arial"/>
          <w:sz w:val="22"/>
          <w:szCs w:val="22"/>
        </w:rPr>
        <w:t xml:space="preserve"> Se configuró así una discrepancia clara entre la gestión observada y la que cabría esperar de una institución que atiende a pacientes cuya continuidad de tratamiento resulta crítica.</w:t>
      </w:r>
    </w:p>
    <w:p>
      <w:pPr>
        <w:spacing w:after="110" w:line="320"/>
        <w:jc w:val="both"/>
      </w:pPr>
      <w:r>
        <w:rPr>
          <w:rFonts w:ascii="Arial" w:cs="Arial" w:eastAsia="Arial" w:hAnsi="Arial"/>
          <w:sz w:val="22"/>
          <w:szCs w:val="22"/>
        </w:rPr>
        <w:t xml:space="preserve">De mantenerse esas condiciones, era previsible que la carga administrativa siguiera creciendo con cada paciente incorporado, que las inasistencias continuaran restando cupos útiles y afectando la continuidad de los tratamientos, y que la respuesta a las consultas dependiera por completo de la disponibilidad del personal en horario de atención. La experiencia de otras instituciones mostró que estos problemas no se corrigen solo con mayor esfuerzo del personal, sino con cambios en los procesos y en los canales de comunicación [8], [17]. Por ello, se planteó el desarrollo de un sistema web con chatbot que integrara el registro de pacientes, el agendamiento de citas con recordatorios automatizados y la atención de consultas, adaptado a la escala y a las particularidades de la fundación.</w:t>
      </w:r>
    </w:p>
    <w:p>
      <w:pPr>
        <w:spacing w:after="110" w:line="320"/>
        <w:jc w:val="both"/>
      </w:pPr>
      <w:r>
        <w:rPr>
          <w:rFonts w:ascii="Arial" w:cs="Arial" w:eastAsia="Arial" w:hAnsi="Arial"/>
          <w:sz w:val="22"/>
          <w:szCs w:val="22"/>
        </w:rPr>
        <w:t xml:space="preserve">Desde la perspectiva de los criterios de identificación de problemáticas propuestos por la guía institucional [18], el caso reunió dos rasgos. El primero fue un vacío de conocimiento, puesto que la evidencia sobre chatbots en salud se concentró en otras áreas de aplicación [3], [4]. El segundo fue una falta de contextualización, ya que los estudios con mayor soporte empírico se desarrollaron en sistemas hospitalarios de gran escala de países de ingresos altos [17], [19], [20], cuyas condiciones difieren de las de una fundación oncológica privada peruana con un número reducido de pacientes activos.</w:t>
      </w:r>
    </w:p>
    <w:p>
      <w:pPr>
        <w:spacing w:after="110" w:line="320"/>
        <w:jc w:val="both"/>
      </w:pPr>
      <w:r>
        <w:rPr>
          <w:rFonts w:ascii="Arial" w:cs="Arial" w:eastAsia="Arial" w:hAnsi="Arial"/>
          <w:sz w:val="22"/>
          <w:szCs w:val="22"/>
        </w:rPr>
        <w:t xml:space="preserve">La investigación buscará contribuir al Objetivo de Desarrollo Sostenible 3, Salud y bienestar, en particular a la meta 3.8, orientada a lograr el acceso a servicios de salud esenciales de calidad para todas las personas [21]. De manera complementaria, pretenderá aportar al Objetivo 9, Industria, innovación e infraestructura, específicamente a la meta 9.5, que plantea aumentar la investigación científica y mejorar la capacidad tecnológica de los sectores de servicios mediante el fomento de la innovación [21]. En ambos casos, la contribución consistirá en demostrar que una solución tecnológica de bajo costo puede mejorar procesos concretos de atención en una institución de salud del sector privado sin fines de lucro.</w:t>
      </w:r>
    </w:p>
    <w:p>
      <w:pPr>
        <w:spacing w:after="110" w:line="320"/>
        <w:jc w:val="both"/>
      </w:pPr>
      <w:r>
        <w:rPr>
          <w:rFonts w:ascii="Arial" w:cs="Arial" w:eastAsia="Arial" w:hAnsi="Arial"/>
          <w:sz w:val="22"/>
          <w:szCs w:val="22"/>
        </w:rPr>
        <w:t xml:space="preserve">A partir de la situación descrita, se formuló la siguiente pregunta general: ¿Cómo influye un sistema web con chatbot para la gestión de pacientes en una fundación oncológica privada de Lima, 2026? De ella se desprendieron las siguientes problemáticas específicas: 1) ¿Cómo influye un sistema web con chatbot en el tiempo promedio de registro para la gestión de pacientes en una fundación oncológica privada de Lima, 2026? 2) ¿Cómo influye un sistema web con chatbot en la tasa de ausentismo para la gestión de pacientes en una fundación oncológica privada de Lima, 2026? 3) ¿Cómo influye un sistema web con chatbot en el nivel de consultas atendidas para la gestión de pacientes en una fundación oncológica privada de Lima, 2026?</w:t>
      </w:r>
    </w:p>
    <w:p>
      <w:pPr>
        <w:spacing w:after="110" w:line="320"/>
        <w:jc w:val="both"/>
      </w:pPr>
      <w:r>
        <w:rPr>
          <w:rFonts w:ascii="Arial" w:cs="Arial" w:eastAsia="Arial" w:hAnsi="Arial"/>
          <w:sz w:val="22"/>
          <w:szCs w:val="22"/>
        </w:rPr>
        <w:t xml:space="preserve">La investigación se justifica desde tres criterios. En el plano teórico, aporta evidencia empírica sobre la aplicación del modelo de aceptación tecnológica [22] y del modelo de éxito de los sistemas de información [23] en un contexto escasamente estudiado: la gestión administrativa de pacientes en una institución oncológica privada peruana. Con ello contribuye a contrastar, en un entorno de pequeña escala, resultados que la literatura ha documentado sobre todo en grandes sistemas hospitalarios [17], [19], y ofrece un marco de referencia para futuros estudios sobre inteligencia artificial conversacional en instituciones sanitarias del país.</w:t>
      </w:r>
    </w:p>
    <w:p>
      <w:pPr>
        <w:spacing w:after="110" w:line="320"/>
        <w:jc w:val="both"/>
      </w:pPr>
      <w:r>
        <w:rPr>
          <w:rFonts w:ascii="Arial" w:cs="Arial" w:eastAsia="Arial" w:hAnsi="Arial"/>
          <w:sz w:val="22"/>
          <w:szCs w:val="22"/>
        </w:rPr>
        <w:t xml:space="preserve">En el plano práctico, la investigación responde a necesidades concretas de la fundación. El sistema web con chatbot busca reducir el tiempo que el personal dedica al registro de pacientes, disminuir las inasistencias mediante recordatorios automatizados e incrementar la proporción de consultas administrativas resueltas en el primer contacto. Los beneficiarios directos son los pacientes oncológicos y sus familias, que acceden a información oportuna y a una atención más ordenada, y el personal administrativo, que puede reorientar su tiempo hacia tareas que requieren intervención humana. Por tratarse de problemas comunes en organizaciones similares, la solución y sus resultados pueden servir de referencia para otras fundaciones o asociaciones de apoyo al paciente oncológico.</w:t>
      </w:r>
    </w:p>
    <w:p>
      <w:pPr>
        <w:spacing w:after="110" w:line="320"/>
        <w:jc w:val="both"/>
      </w:pPr>
      <w:r>
        <w:rPr>
          <w:rFonts w:ascii="Arial" w:cs="Arial" w:eastAsia="Arial" w:hAnsi="Arial"/>
          <w:sz w:val="22"/>
          <w:szCs w:val="22"/>
        </w:rPr>
        <w:t xml:space="preserve">En el plano metodológico, el estudio propone un procedimiento de medición basado en eventos reales y no en un número fijo de observaciones por participante. Cada indicador se calcula sobre su propia unidad de análisis (el registro, la cita programada o la consulta recibida) y la comparación entre el pretest y el postest se realiza sobre trece sesiones equivalentes de observación. Este procedimiento, junto con los instrumentos diseñados y validados para el estudio, puede ser replicado por otras investigaciones aplicadas que evalúen sistemas de información en instituciones con volúmenes de atención reducidos.</w:t>
      </w:r>
    </w:p>
    <w:p>
      <w:pPr>
        <w:spacing w:after="110" w:line="320"/>
        <w:jc w:val="both"/>
      </w:pPr>
      <w:r>
        <w:rPr>
          <w:rFonts w:ascii="Arial" w:cs="Arial" w:eastAsia="Arial" w:hAnsi="Arial"/>
          <w:sz w:val="22"/>
          <w:szCs w:val="22"/>
        </w:rPr>
        <w:t xml:space="preserve">En correspondencia con estas preguntas, la investigación se orientó por el siguiente objetivo general: Determinar la influencia de un sistema web con chatbot para la gestión de pacientes en una fundación oncológica privada de Lima, 2026. Los objetivos específicos que guiaron el estudio fueron los siguientes: 1) Determinar la influencia de un sistema web con chatbot en el tiempo promedio de registro para la gestión de pacientes en una fundación oncológica privada de Lima, 2026. 2) Determinar la influencia de un sistema web con chatbot en la tasa de ausentismo para la gestión de pacientes en una fundación oncológica privada de Lima, 2026. 3) Determinar la influencia de un sistema web con chatbot en el nivel de consultas atendidas para la gestión de pacientes en una fundación oncológica privada de Lima, 2026.</w:t>
      </w:r>
    </w:p>
    <w:p>
      <w:pPr>
        <w:spacing w:after="110" w:line="320"/>
        <w:jc w:val="both"/>
      </w:pPr>
      <w:r>
        <w:rPr>
          <w:rFonts w:ascii="Arial" w:cs="Arial" w:eastAsia="Arial" w:hAnsi="Arial"/>
          <w:sz w:val="22"/>
          <w:szCs w:val="22"/>
        </w:rPr>
        <w:t xml:space="preserve">Con base en la evidencia revisada, que asoció la automatización del agendamiento con menores tasas de inasistencia [17], los recordatorios con una mejor adherencia [5] y los chatbots con una menor carga de consultas sobre el personal [7], [19], la investigación propuso como hipótesis general: el sistema web con chatbot mejora significativamente la gestión de pacientes en una fundación oncológica privada de Lima, 2026. De manera específica, se planteó como primera hipótesis específica que el sistema web con chatbot mejora el tiempo promedio de registro para la gestión de pacientes en una fundación oncológica privada de Lima, 2026; como segunda hipótesis específica, que el sistema web con chatbot disminuye la tasa de ausentismo para la gestión de pacientes en una fundación oncológica privada de Lima, 2026; y como tercera hipótesis específica, que el sistema web con chatbot mejora el nivel de consultas atendidas para la gestión de pacientes en una fundación oncológica privada de Lima, 2026.</w:t>
      </w:r>
    </w:p>
    <w:p>
      <w:pPr>
        <w:sectPr>
          <w:pgSz w:w="11906" w:h="16838" w:orient="portrait"/>
          <w:pgMar w:top="1440" w:right="1440" w:bottom="1440" w:left="1440" w:header="708" w:footer="708" w:gutter="0"/>
          <w:pgNumType/>
          <w:docGrid w:linePitch="360"/>
        </w:sectPr>
      </w:pPr>
    </w:p>
    <w:p>
      <w:pPr>
        <w:pStyle w:val="Heading1"/>
        <w:spacing w:after="120" w:before="240"/>
      </w:pPr>
      <w:r>
        <w:rPr>
          <w:rFonts w:ascii="Arial" w:cs="Arial" w:eastAsia="Arial" w:hAnsi="Arial"/>
          <w:b/>
          <w:bCs/>
          <w:color w:val="1F3864"/>
          <w:sz w:val="26"/>
          <w:szCs w:val="26"/>
        </w:rPr>
        <w:t xml:space="preserve">4. Matriz de coherencia (formulaciones originales)</w:t>
      </w:r>
    </w:p>
    <w:p>
      <w:pPr>
        <w:spacing w:after="110" w:line="300"/>
        <w:jc w:val="both"/>
      </w:pPr>
      <w:r>
        <w:rPr>
          <w:rFonts w:ascii="Arial" w:cs="Arial" w:eastAsia="Arial" w:hAnsi="Arial"/>
          <w:sz w:val="20"/>
          <w:szCs w:val="20"/>
        </w:rPr>
        <w:t xml:space="preserve">Las tres primeras columnas reproducen textualmente las formulaciones conservadas. La última muestra cómo se traduce cada hipótesis al contraste estadístico, sin alterar su redacción.</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150"/>
        <w:gridCol w:w="3000"/>
        <w:gridCol w:w="3000"/>
        <w:gridCol w:w="2900"/>
        <w:gridCol w:w="2000"/>
        <w:gridCol w:w="1908"/>
      </w:tblGrid>
      <w:tr>
        <w:trPr>
          <w:cantSplit/>
          <w:tblHeader/>
        </w:trPr>
        <w:tc>
          <w:tcPr>
            <w:tcW w:type="dxa" w:w="1150"/>
            <w:tcBorders>
              <w:top w:val="single" w:color="999999" w:sz="4"/>
              <w:left w:val="single" w:color="999999" w:sz="4"/>
              <w:bottom w:val="single" w:color="999999" w:sz="4"/>
              <w:right w:val="single" w:color="999999" w:sz="4"/>
            </w:tcBorders>
            <w:shd w:fill="D5DCE4" w:color="auto" w:val="clear"/>
            <w:tcMar>
              <w:top w:type="dxa" w:w="50"/>
              <w:left w:type="dxa" w:w="80"/>
              <w:bottom w:type="dxa" w:w="50"/>
              <w:right w:type="dxa" w:w="80"/>
            </w:tcMar>
          </w:tcPr>
          <w:p>
            <w:pPr>
              <w:spacing w:after="20"/>
            </w:pPr>
            <w:r>
              <w:rPr>
                <w:rFonts w:ascii="Arial" w:cs="Arial" w:eastAsia="Arial" w:hAnsi="Arial"/>
                <w:b/>
                <w:bCs/>
                <w:sz w:val="17"/>
                <w:szCs w:val="17"/>
              </w:rPr>
              <w:t xml:space="preserve">Nivel</w:t>
            </w:r>
          </w:p>
        </w:tc>
        <w:tc>
          <w:tcPr>
            <w:tcW w:type="dxa" w:w="3000"/>
            <w:tcBorders>
              <w:top w:val="single" w:color="999999" w:sz="4"/>
              <w:left w:val="single" w:color="999999" w:sz="4"/>
              <w:bottom w:val="single" w:color="999999" w:sz="4"/>
              <w:right w:val="single" w:color="999999" w:sz="4"/>
            </w:tcBorders>
            <w:shd w:fill="D5DCE4" w:color="auto" w:val="clear"/>
            <w:tcMar>
              <w:top w:type="dxa" w:w="50"/>
              <w:left w:type="dxa" w:w="80"/>
              <w:bottom w:type="dxa" w:w="50"/>
              <w:right w:type="dxa" w:w="80"/>
            </w:tcMar>
          </w:tcPr>
          <w:p>
            <w:pPr>
              <w:spacing w:after="20"/>
            </w:pPr>
            <w:r>
              <w:rPr>
                <w:rFonts w:ascii="Arial" w:cs="Arial" w:eastAsia="Arial" w:hAnsi="Arial"/>
                <w:b/>
                <w:bCs/>
                <w:sz w:val="17"/>
                <w:szCs w:val="17"/>
              </w:rPr>
              <w:t xml:space="preserve">Problema</w:t>
            </w:r>
          </w:p>
        </w:tc>
        <w:tc>
          <w:tcPr>
            <w:tcW w:type="dxa" w:w="3000"/>
            <w:tcBorders>
              <w:top w:val="single" w:color="999999" w:sz="4"/>
              <w:left w:val="single" w:color="999999" w:sz="4"/>
              <w:bottom w:val="single" w:color="999999" w:sz="4"/>
              <w:right w:val="single" w:color="999999" w:sz="4"/>
            </w:tcBorders>
            <w:shd w:fill="D5DCE4" w:color="auto" w:val="clear"/>
            <w:tcMar>
              <w:top w:type="dxa" w:w="50"/>
              <w:left w:type="dxa" w:w="80"/>
              <w:bottom w:type="dxa" w:w="50"/>
              <w:right w:type="dxa" w:w="80"/>
            </w:tcMar>
          </w:tcPr>
          <w:p>
            <w:pPr>
              <w:spacing w:after="20"/>
            </w:pPr>
            <w:r>
              <w:rPr>
                <w:rFonts w:ascii="Arial" w:cs="Arial" w:eastAsia="Arial" w:hAnsi="Arial"/>
                <w:b/>
                <w:bCs/>
                <w:sz w:val="17"/>
                <w:szCs w:val="17"/>
              </w:rPr>
              <w:t xml:space="preserve">Objetivo</w:t>
            </w:r>
          </w:p>
        </w:tc>
        <w:tc>
          <w:tcPr>
            <w:tcW w:type="dxa" w:w="2900"/>
            <w:tcBorders>
              <w:top w:val="single" w:color="999999" w:sz="4"/>
              <w:left w:val="single" w:color="999999" w:sz="4"/>
              <w:bottom w:val="single" w:color="999999" w:sz="4"/>
              <w:right w:val="single" w:color="999999" w:sz="4"/>
            </w:tcBorders>
            <w:shd w:fill="D5DCE4" w:color="auto" w:val="clear"/>
            <w:tcMar>
              <w:top w:type="dxa" w:w="50"/>
              <w:left w:type="dxa" w:w="80"/>
              <w:bottom w:type="dxa" w:w="50"/>
              <w:right w:type="dxa" w:w="80"/>
            </w:tcMar>
          </w:tcPr>
          <w:p>
            <w:pPr>
              <w:spacing w:after="20"/>
            </w:pPr>
            <w:r>
              <w:rPr>
                <w:rFonts w:ascii="Arial" w:cs="Arial" w:eastAsia="Arial" w:hAnsi="Arial"/>
                <w:b/>
                <w:bCs/>
                <w:sz w:val="17"/>
                <w:szCs w:val="17"/>
              </w:rPr>
              <w:t xml:space="preserve">Hipótesis</w:t>
            </w:r>
          </w:p>
        </w:tc>
        <w:tc>
          <w:tcPr>
            <w:tcW w:type="dxa" w:w="2000"/>
            <w:tcBorders>
              <w:top w:val="single" w:color="999999" w:sz="4"/>
              <w:left w:val="single" w:color="999999" w:sz="4"/>
              <w:bottom w:val="single" w:color="999999" w:sz="4"/>
              <w:right w:val="single" w:color="999999" w:sz="4"/>
            </w:tcBorders>
            <w:shd w:fill="D5DCE4" w:color="auto" w:val="clear"/>
            <w:tcMar>
              <w:top w:type="dxa" w:w="50"/>
              <w:left w:type="dxa" w:w="80"/>
              <w:bottom w:type="dxa" w:w="50"/>
              <w:right w:type="dxa" w:w="80"/>
            </w:tcMar>
          </w:tcPr>
          <w:p>
            <w:pPr>
              <w:spacing w:after="20"/>
            </w:pPr>
            <w:r>
              <w:rPr>
                <w:rFonts w:ascii="Arial" w:cs="Arial" w:eastAsia="Arial" w:hAnsi="Arial"/>
                <w:b/>
                <w:bCs/>
                <w:sz w:val="17"/>
                <w:szCs w:val="17"/>
              </w:rPr>
              <w:t xml:space="preserve">Dimensión · indicador</w:t>
            </w:r>
          </w:p>
        </w:tc>
        <w:tc>
          <w:tcPr>
            <w:tcW w:type="dxa" w:w="1908"/>
            <w:tcBorders>
              <w:top w:val="single" w:color="999999" w:sz="4"/>
              <w:left w:val="single" w:color="999999" w:sz="4"/>
              <w:bottom w:val="single" w:color="999999" w:sz="4"/>
              <w:right w:val="single" w:color="999999" w:sz="4"/>
            </w:tcBorders>
            <w:shd w:fill="D5DCE4" w:color="auto" w:val="clear"/>
            <w:tcMar>
              <w:top w:type="dxa" w:w="50"/>
              <w:left w:type="dxa" w:w="80"/>
              <w:bottom w:type="dxa" w:w="50"/>
              <w:right w:type="dxa" w:w="80"/>
            </w:tcMar>
          </w:tcPr>
          <w:p>
            <w:pPr>
              <w:spacing w:after="20"/>
            </w:pPr>
            <w:r>
              <w:rPr>
                <w:rFonts w:ascii="Arial" w:cs="Arial" w:eastAsia="Arial" w:hAnsi="Arial"/>
                <w:b/>
                <w:bCs/>
                <w:sz w:val="17"/>
                <w:szCs w:val="17"/>
              </w:rPr>
              <w:t xml:space="preserve">Dirección para el contraste</w:t>
            </w:r>
          </w:p>
        </w:tc>
      </w:tr>
      <w:tr>
        <w:trPr>
          <w:cantSplit/>
          <w:tblHeader w:val="false"/>
        </w:trPr>
        <w:tc>
          <w:tcPr>
            <w:tcW w:type="dxa" w:w="11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b w:val="false"/>
                <w:bCs w:val="false"/>
                <w:sz w:val="17"/>
                <w:szCs w:val="17"/>
              </w:rPr>
              <w:t xml:space="preserve">General</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b w:val="false"/>
                <w:bCs w:val="false"/>
                <w:sz w:val="17"/>
                <w:szCs w:val="17"/>
              </w:rPr>
              <w:t xml:space="preserve">¿Cómo influye un sistema web con chatbot para la gestión de pacientes en una fundación oncológica privada de Lima, 2026?</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b w:val="false"/>
                <w:bCs w:val="false"/>
                <w:sz w:val="17"/>
                <w:szCs w:val="17"/>
              </w:rPr>
              <w:t xml:space="preserve">Determinar la influencia de un sistema web con chatbot para la gestión de pacientes en una fundación oncológica privada de Lima, 2026.</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b w:val="false"/>
                <w:bCs w:val="false"/>
                <w:sz w:val="17"/>
                <w:szCs w:val="17"/>
              </w:rPr>
              <w:t xml:space="preserve">El sistema web con chatbot mejora significativamente la gestión de pacientes en una fundación oncológica privada de Lima, 2026.</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b w:val="false"/>
                <w:bCs w:val="false"/>
                <w:sz w:val="17"/>
                <w:szCs w:val="17"/>
              </w:rPr>
              <w:t xml:space="preserve">Gestión de pacientes (3 dimensiones)</w:t>
            </w:r>
          </w:p>
        </w:tc>
        <w:tc>
          <w:tcPr>
            <w:tcW w:type="dxa" w:w="190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b w:val="false"/>
                <w:bCs w:val="false"/>
                <w:sz w:val="17"/>
                <w:szCs w:val="17"/>
              </w:rPr>
              <w:t xml:space="preserve">Respaldada si los tres indicadores cambian significativamente en la dirección esperada</w:t>
            </w:r>
          </w:p>
        </w:tc>
      </w:tr>
      <w:tr>
        <w:trPr>
          <w:cantSplit/>
          <w:tblHeader w:val="false"/>
        </w:trPr>
        <w:tc>
          <w:tcPr>
            <w:tcW w:type="dxa" w:w="11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b w:val="false"/>
                <w:bCs w:val="false"/>
                <w:sz w:val="17"/>
                <w:szCs w:val="17"/>
              </w:rPr>
              <w:t xml:space="preserve">Específico 1</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b w:val="false"/>
                <w:bCs w:val="false"/>
                <w:sz w:val="17"/>
                <w:szCs w:val="17"/>
              </w:rPr>
              <w:t xml:space="preserve">¿Cómo influye un sistema web con chatbot en el tiempo promedio de registro para la gestión de pacientes en una fundación oncológica privada de Lima, 2026?</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b w:val="false"/>
                <w:bCs w:val="false"/>
                <w:sz w:val="17"/>
                <w:szCs w:val="17"/>
              </w:rPr>
              <w:t xml:space="preserve">Determinar la influencia de un sistema web con chatbot en el tiempo promedio de registro para la gestión de pacientes en una fundación oncológica privada de Lima, 2026.</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b w:val="false"/>
                <w:bCs w:val="false"/>
                <w:sz w:val="17"/>
                <w:szCs w:val="17"/>
              </w:rPr>
              <w:t xml:space="preserve">El sistema web con chatbot mejora el tiempo promedio de registro para la gestión de pacientes en una fundación oncológica privada de Lima, 2026.</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b w:val="false"/>
                <w:bCs w:val="false"/>
                <w:sz w:val="17"/>
                <w:szCs w:val="17"/>
              </w:rPr>
              <w:t xml:space="preserve">Registro de pacientes · TPR (min)</w:t>
            </w:r>
          </w:p>
        </w:tc>
        <w:tc>
          <w:tcPr>
            <w:tcW w:type="dxa" w:w="190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b w:val="false"/>
                <w:bCs w:val="false"/>
                <w:sz w:val="17"/>
                <w:szCs w:val="17"/>
              </w:rPr>
              <w:t xml:space="preserve">Mejora = TPR postest &lt; TPR pretest</w:t>
            </w:r>
          </w:p>
        </w:tc>
      </w:tr>
      <w:tr>
        <w:trPr>
          <w:cantSplit/>
          <w:tblHeader w:val="false"/>
        </w:trPr>
        <w:tc>
          <w:tcPr>
            <w:tcW w:type="dxa" w:w="11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b w:val="false"/>
                <w:bCs w:val="false"/>
                <w:sz w:val="17"/>
                <w:szCs w:val="17"/>
              </w:rPr>
              <w:t xml:space="preserve">Específico 2</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b w:val="false"/>
                <w:bCs w:val="false"/>
                <w:sz w:val="17"/>
                <w:szCs w:val="17"/>
              </w:rPr>
              <w:t xml:space="preserve">¿Cómo influye un sistema web con chatbot en la tasa de ausentismo para la gestión de pacientes en una fundación oncológica privada de Lima, 2026?</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b w:val="false"/>
                <w:bCs w:val="false"/>
                <w:sz w:val="17"/>
                <w:szCs w:val="17"/>
              </w:rPr>
              <w:t xml:space="preserve">Determinar la influencia de un sistema web con chatbot en la tasa de ausentismo para la gestión de pacientes en una fundación oncológica privada de Lima, 2026.</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b w:val="false"/>
                <w:bCs w:val="false"/>
                <w:sz w:val="17"/>
                <w:szCs w:val="17"/>
              </w:rPr>
              <w:t xml:space="preserve">El sistema web con chatbot disminuye la tasa de ausentismo para la gestión de pacientes en una fundación oncológica privada de Lima, 2026.</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b w:val="false"/>
                <w:bCs w:val="false"/>
                <w:sz w:val="17"/>
                <w:szCs w:val="17"/>
              </w:rPr>
              <w:t xml:space="preserve">Agendamiento de citas médicas · TA (%)</w:t>
            </w:r>
          </w:p>
        </w:tc>
        <w:tc>
          <w:tcPr>
            <w:tcW w:type="dxa" w:w="190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b w:val="false"/>
                <w:bCs w:val="false"/>
                <w:sz w:val="17"/>
                <w:szCs w:val="17"/>
              </w:rPr>
              <w:t xml:space="preserve">TA postest &lt; TA pretest</w:t>
            </w:r>
          </w:p>
        </w:tc>
      </w:tr>
      <w:tr>
        <w:trPr>
          <w:cantSplit/>
          <w:tblHeader w:val="false"/>
        </w:trPr>
        <w:tc>
          <w:tcPr>
            <w:tcW w:type="dxa" w:w="11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b w:val="false"/>
                <w:bCs w:val="false"/>
                <w:sz w:val="17"/>
                <w:szCs w:val="17"/>
              </w:rPr>
              <w:t xml:space="preserve">Específico 3</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b w:val="false"/>
                <w:bCs w:val="false"/>
                <w:sz w:val="17"/>
                <w:szCs w:val="17"/>
              </w:rPr>
              <w:t xml:space="preserve">¿Cómo influye un sistema web con chatbot en el nivel de consultas atendidas para la gestión de pacientes en una fundación oncológica privada de Lima, 2026?</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b w:val="false"/>
                <w:bCs w:val="false"/>
                <w:sz w:val="17"/>
                <w:szCs w:val="17"/>
              </w:rPr>
              <w:t xml:space="preserve">Determinar la influencia de un sistema web con chatbot en el nivel de consultas atendidas para la gestión de pacientes en una fundación oncológica privada de Lima, 2026.</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b w:val="false"/>
                <w:bCs w:val="false"/>
                <w:sz w:val="17"/>
                <w:szCs w:val="17"/>
              </w:rPr>
              <w:t xml:space="preserve">El sistema web con chatbot mejora el nivel de consultas atendidas para la gestión de pacientes en una fundación oncológica privada de Lima, 2026.</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b w:val="false"/>
                <w:bCs w:val="false"/>
                <w:sz w:val="17"/>
                <w:szCs w:val="17"/>
              </w:rPr>
              <w:t xml:space="preserve">Eficacia de la atención · NCA (%)</w:t>
            </w:r>
          </w:p>
        </w:tc>
        <w:tc>
          <w:tcPr>
            <w:tcW w:type="dxa" w:w="190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b w:val="false"/>
                <w:bCs w:val="false"/>
                <w:sz w:val="17"/>
                <w:szCs w:val="17"/>
              </w:rPr>
              <w:t xml:space="preserve">Mejora = NCA postest &gt; NCA pretest</w:t>
            </w:r>
          </w:p>
        </w:tc>
      </w:tr>
    </w:tbl>
    <w:p>
      <w:pPr>
        <w:pStyle w:val="Heading1"/>
        <w:spacing w:after="120" w:before="240"/>
      </w:pPr>
      <w:r>
        <w:rPr>
          <w:rFonts w:ascii="Arial" w:cs="Arial" w:eastAsia="Arial" w:hAnsi="Arial"/>
          <w:b/>
          <w:bCs/>
          <w:color w:val="1F3864"/>
          <w:sz w:val="26"/>
          <w:szCs w:val="26"/>
        </w:rPr>
        <w:t xml:space="preserve">5. Hipótesis estadísticas por indicador</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2700"/>
        <w:gridCol w:w="2800"/>
        <w:gridCol w:w="2600"/>
        <w:gridCol w:w="1658"/>
      </w:tblGrid>
      <w:tr>
        <w:trPr>
          <w:cantSplit/>
          <w:tblHeader/>
        </w:trPr>
        <w:tc>
          <w:tcPr>
            <w:tcW w:type="dxa" w:w="1500"/>
            <w:tcBorders>
              <w:top w:val="single" w:color="999999" w:sz="4"/>
              <w:left w:val="single" w:color="999999" w:sz="4"/>
              <w:bottom w:val="single" w:color="999999" w:sz="4"/>
              <w:right w:val="single" w:color="999999" w:sz="4"/>
            </w:tcBorders>
            <w:shd w:fill="D5DCE4" w:color="auto" w:val="clear"/>
            <w:tcMar>
              <w:top w:type="dxa" w:w="50"/>
              <w:left w:type="dxa" w:w="80"/>
              <w:bottom w:type="dxa" w:w="50"/>
              <w:right w:type="dxa" w:w="80"/>
            </w:tcMar>
          </w:tcPr>
          <w:p>
            <w:pPr>
              <w:spacing w:after="20"/>
            </w:pPr>
            <w:r>
              <w:rPr>
                <w:rFonts w:ascii="Arial" w:cs="Arial" w:eastAsia="Arial" w:hAnsi="Arial"/>
                <w:b/>
                <w:bCs/>
                <w:sz w:val="17"/>
                <w:szCs w:val="17"/>
              </w:rPr>
              <w:t xml:space="preserve">Hipótesis específica</w:t>
            </w:r>
          </w:p>
        </w:tc>
        <w:tc>
          <w:tcPr>
            <w:tcW w:type="dxa" w:w="2700"/>
            <w:tcBorders>
              <w:top w:val="single" w:color="999999" w:sz="4"/>
              <w:left w:val="single" w:color="999999" w:sz="4"/>
              <w:bottom w:val="single" w:color="999999" w:sz="4"/>
              <w:right w:val="single" w:color="999999" w:sz="4"/>
            </w:tcBorders>
            <w:shd w:fill="D5DCE4" w:color="auto" w:val="clear"/>
            <w:tcMar>
              <w:top w:type="dxa" w:w="50"/>
              <w:left w:type="dxa" w:w="80"/>
              <w:bottom w:type="dxa" w:w="50"/>
              <w:right w:type="dxa" w:w="80"/>
            </w:tcMar>
          </w:tcPr>
          <w:p>
            <w:pPr>
              <w:spacing w:after="20"/>
            </w:pPr>
            <w:r>
              <w:rPr>
                <w:rFonts w:ascii="Arial" w:cs="Arial" w:eastAsia="Arial" w:hAnsi="Arial"/>
                <w:b/>
                <w:bCs/>
                <w:sz w:val="17"/>
                <w:szCs w:val="17"/>
              </w:rPr>
              <w:t xml:space="preserve">H0 (nula)</w:t>
            </w:r>
          </w:p>
        </w:tc>
        <w:tc>
          <w:tcPr>
            <w:tcW w:type="dxa" w:w="2700"/>
            <w:tcBorders>
              <w:top w:val="single" w:color="999999" w:sz="4"/>
              <w:left w:val="single" w:color="999999" w:sz="4"/>
              <w:bottom w:val="single" w:color="999999" w:sz="4"/>
              <w:right w:val="single" w:color="999999" w:sz="4"/>
            </w:tcBorders>
            <w:shd w:fill="D5DCE4" w:color="auto" w:val="clear"/>
            <w:tcMar>
              <w:top w:type="dxa" w:w="50"/>
              <w:left w:type="dxa" w:w="80"/>
              <w:bottom w:type="dxa" w:w="50"/>
              <w:right w:type="dxa" w:w="80"/>
            </w:tcMar>
          </w:tcPr>
          <w:p>
            <w:pPr>
              <w:spacing w:after="20"/>
            </w:pPr>
            <w:r>
              <w:rPr>
                <w:rFonts w:ascii="Arial" w:cs="Arial" w:eastAsia="Arial" w:hAnsi="Arial"/>
                <w:b/>
                <w:bCs/>
                <w:sz w:val="17"/>
                <w:szCs w:val="17"/>
              </w:rPr>
              <w:t xml:space="preserve">Ha (alterna)</w:t>
            </w:r>
          </w:p>
        </w:tc>
        <w:tc>
          <w:tcPr>
            <w:tcW w:type="dxa" w:w="2800"/>
            <w:tcBorders>
              <w:top w:val="single" w:color="999999" w:sz="4"/>
              <w:left w:val="single" w:color="999999" w:sz="4"/>
              <w:bottom w:val="single" w:color="999999" w:sz="4"/>
              <w:right w:val="single" w:color="999999" w:sz="4"/>
            </w:tcBorders>
            <w:shd w:fill="D5DCE4" w:color="auto" w:val="clear"/>
            <w:tcMar>
              <w:top w:type="dxa" w:w="50"/>
              <w:left w:type="dxa" w:w="80"/>
              <w:bottom w:type="dxa" w:w="50"/>
              <w:right w:type="dxa" w:w="80"/>
            </w:tcMar>
          </w:tcPr>
          <w:p>
            <w:pPr>
              <w:spacing w:after="20"/>
            </w:pPr>
            <w:r>
              <w:rPr>
                <w:rFonts w:ascii="Arial" w:cs="Arial" w:eastAsia="Arial" w:hAnsi="Arial"/>
                <w:b/>
                <w:bCs/>
                <w:sz w:val="17"/>
                <w:szCs w:val="17"/>
              </w:rPr>
              <w:t xml:space="preserve">Unidad de comparación</w:t>
            </w:r>
          </w:p>
        </w:tc>
        <w:tc>
          <w:tcPr>
            <w:tcW w:type="dxa" w:w="2600"/>
            <w:tcBorders>
              <w:top w:val="single" w:color="999999" w:sz="4"/>
              <w:left w:val="single" w:color="999999" w:sz="4"/>
              <w:bottom w:val="single" w:color="999999" w:sz="4"/>
              <w:right w:val="single" w:color="999999" w:sz="4"/>
            </w:tcBorders>
            <w:shd w:fill="D5DCE4" w:color="auto" w:val="clear"/>
            <w:tcMar>
              <w:top w:type="dxa" w:w="50"/>
              <w:left w:type="dxa" w:w="80"/>
              <w:bottom w:type="dxa" w:w="50"/>
              <w:right w:type="dxa" w:w="80"/>
            </w:tcMar>
          </w:tcPr>
          <w:p>
            <w:pPr>
              <w:spacing w:after="20"/>
            </w:pPr>
            <w:r>
              <w:rPr>
                <w:rFonts w:ascii="Arial" w:cs="Arial" w:eastAsia="Arial" w:hAnsi="Arial"/>
                <w:b/>
                <w:bCs/>
                <w:sz w:val="17"/>
                <w:szCs w:val="17"/>
              </w:rPr>
              <w:t xml:space="preserve">Prueba (según normalidad)</w:t>
            </w:r>
          </w:p>
        </w:tc>
        <w:tc>
          <w:tcPr>
            <w:tcW w:type="dxa" w:w="1658"/>
            <w:tcBorders>
              <w:top w:val="single" w:color="999999" w:sz="4"/>
              <w:left w:val="single" w:color="999999" w:sz="4"/>
              <w:bottom w:val="single" w:color="999999" w:sz="4"/>
              <w:right w:val="single" w:color="999999" w:sz="4"/>
            </w:tcBorders>
            <w:shd w:fill="D5DCE4" w:color="auto" w:val="clear"/>
            <w:tcMar>
              <w:top w:type="dxa" w:w="50"/>
              <w:left w:type="dxa" w:w="80"/>
              <w:bottom w:type="dxa" w:w="50"/>
              <w:right w:type="dxa" w:w="80"/>
            </w:tcMar>
          </w:tcPr>
          <w:p>
            <w:pPr>
              <w:spacing w:after="20"/>
            </w:pPr>
            <w:r>
              <w:rPr>
                <w:rFonts w:ascii="Arial" w:cs="Arial" w:eastAsia="Arial" w:hAnsi="Arial"/>
                <w:b/>
                <w:bCs/>
                <w:sz w:val="17"/>
                <w:szCs w:val="17"/>
              </w:rPr>
              <w:t xml:space="preserve">Nivel de significancia</w:t>
            </w:r>
          </w:p>
        </w:tc>
      </w:tr>
      <w:tr>
        <w:trPr>
          <w:cantSplit/>
          <w:tblHeader w:val="false"/>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b w:val="false"/>
                <w:bCs w:val="false"/>
                <w:sz w:val="17"/>
                <w:szCs w:val="17"/>
              </w:rPr>
              <w:t xml:space="preserve">HE1 · TPR</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b w:val="false"/>
                <w:bCs w:val="false"/>
                <w:sz w:val="17"/>
                <w:szCs w:val="17"/>
              </w:rPr>
              <w:t xml:space="preserve">No existe diferencia significativa en el TPR entre el pretest y el postest.</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b w:val="false"/>
                <w:bCs w:val="false"/>
                <w:sz w:val="17"/>
                <w:szCs w:val="17"/>
              </w:rPr>
              <w:t xml:space="preserve">El TPR del postest es significativamente menor que el del pretest.</w:t>
            </w:r>
          </w:p>
        </w:tc>
        <w:tc>
          <w:tcPr>
            <w:tcW w:type="dxa" w:w="2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b w:val="false"/>
                <w:bCs w:val="false"/>
                <w:sz w:val="17"/>
                <w:szCs w:val="17"/>
              </w:rPr>
              <w:t xml:space="preserve">13 pares de sesiones (valor medio de los registros de cada sesión)</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b w:val="false"/>
                <w:bCs w:val="false"/>
                <w:sz w:val="17"/>
                <w:szCs w:val="17"/>
              </w:rPr>
              <w:t xml:space="preserve">Shapiro-Wilk sobre las diferencias → t de Student para muestras relacionadas o Wilcoxon</w:t>
            </w:r>
          </w:p>
        </w:tc>
        <w:tc>
          <w:tcPr>
            <w:tcW w:type="dxa" w:w="16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b w:val="false"/>
                <w:bCs w:val="false"/>
                <w:sz w:val="17"/>
                <w:szCs w:val="17"/>
              </w:rPr>
              <w:t xml:space="preserve">α = 0,05, unilateral</w:t>
            </w:r>
          </w:p>
        </w:tc>
      </w:tr>
      <w:tr>
        <w:trPr>
          <w:cantSplit/>
          <w:tblHeader w:val="false"/>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b w:val="false"/>
                <w:bCs w:val="false"/>
                <w:sz w:val="17"/>
                <w:szCs w:val="17"/>
              </w:rPr>
              <w:t xml:space="preserve">HE2 · TA</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b w:val="false"/>
                <w:bCs w:val="false"/>
                <w:sz w:val="17"/>
                <w:szCs w:val="17"/>
              </w:rPr>
              <w:t xml:space="preserve">No existe diferencia significativa en la TA entre el pretest y el postest.</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b w:val="false"/>
                <w:bCs w:val="false"/>
                <w:sz w:val="17"/>
                <w:szCs w:val="17"/>
              </w:rPr>
              <w:t xml:space="preserve">La TA del postest es significativamente menor que la del pretest.</w:t>
            </w:r>
          </w:p>
        </w:tc>
        <w:tc>
          <w:tcPr>
            <w:tcW w:type="dxa" w:w="2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b w:val="false"/>
                <w:bCs w:val="false"/>
                <w:sz w:val="17"/>
                <w:szCs w:val="17"/>
              </w:rPr>
              <w:t xml:space="preserve">13 pares de sesiones (proporción de citas elegibles no asistidas)</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b w:val="false"/>
                <w:bCs w:val="false"/>
                <w:sz w:val="17"/>
                <w:szCs w:val="17"/>
              </w:rPr>
              <w:t xml:space="preserve">Ídem</w:t>
            </w:r>
          </w:p>
        </w:tc>
        <w:tc>
          <w:tcPr>
            <w:tcW w:type="dxa" w:w="16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b w:val="false"/>
                <w:bCs w:val="false"/>
                <w:sz w:val="17"/>
                <w:szCs w:val="17"/>
              </w:rPr>
              <w:t xml:space="preserve">α = 0,05, unilateral</w:t>
            </w:r>
          </w:p>
        </w:tc>
      </w:tr>
      <w:tr>
        <w:trPr>
          <w:cantSplit/>
          <w:tblHeader w:val="false"/>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b w:val="false"/>
                <w:bCs w:val="false"/>
                <w:sz w:val="17"/>
                <w:szCs w:val="17"/>
              </w:rPr>
              <w:t xml:space="preserve">HE3 · NCA</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b w:val="false"/>
                <w:bCs w:val="false"/>
                <w:sz w:val="17"/>
                <w:szCs w:val="17"/>
              </w:rPr>
              <w:t xml:space="preserve">No existe diferencia significativa en el NCA entre el pretest y el postest.</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b w:val="false"/>
                <w:bCs w:val="false"/>
                <w:sz w:val="17"/>
                <w:szCs w:val="17"/>
              </w:rPr>
              <w:t xml:space="preserve">El NCA del postest es significativamente mayor que el del pretest.</w:t>
            </w:r>
          </w:p>
        </w:tc>
        <w:tc>
          <w:tcPr>
            <w:tcW w:type="dxa" w:w="2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b w:val="false"/>
                <w:bCs w:val="false"/>
                <w:sz w:val="17"/>
                <w:szCs w:val="17"/>
              </w:rPr>
              <w:t xml:space="preserve">13 pares de sesiones (proporción de consultas resueltas en el primer contacto)</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b w:val="false"/>
                <w:bCs w:val="false"/>
                <w:sz w:val="17"/>
                <w:szCs w:val="17"/>
              </w:rPr>
              <w:t xml:space="preserve">Ídem</w:t>
            </w:r>
          </w:p>
        </w:tc>
        <w:tc>
          <w:tcPr>
            <w:tcW w:type="dxa" w:w="16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b w:val="false"/>
                <w:bCs w:val="false"/>
                <w:sz w:val="17"/>
                <w:szCs w:val="17"/>
              </w:rPr>
              <w:t xml:space="preserve">α = 0,05, unilateral</w:t>
            </w:r>
          </w:p>
        </w:tc>
      </w:tr>
    </w:tbl>
    <w:p>
      <w:pPr>
        <w:spacing w:after="110" w:line="300"/>
        <w:jc w:val="both"/>
      </w:pPr>
      <w:r>
        <w:rPr>
          <w:rFonts w:ascii="Arial" w:cs="Arial" w:eastAsia="Arial" w:hAnsi="Arial"/>
          <w:sz w:val="19"/>
          <w:szCs w:val="19"/>
        </w:rPr>
        <w:t xml:space="preserve">Nota. Si una sesión no registra eventos para un indicador, el par se excluye y se informa el número efectivo de pares. La regla de decisión de la hipótesis general (tres indicadores significativos en la dirección esperada) es una propuesta de esta sesión; conviene validarla con el asesor.</w:t>
      </w:r>
    </w:p>
    <w:p>
      <w:pPr>
        <w:pStyle w:val="Heading1"/>
        <w:spacing w:after="120" w:before="240"/>
      </w:pPr>
      <w:r>
        <w:rPr>
          <w:rFonts w:ascii="Arial" w:cs="Arial" w:eastAsia="Arial" w:hAnsi="Arial"/>
          <w:b/>
          <w:bCs/>
          <w:color w:val="1F3864"/>
          <w:sz w:val="26"/>
          <w:szCs w:val="26"/>
        </w:rPr>
        <w:t xml:space="preserve">6. Autoevaluación con la rúbrica del informe de tesis (guía V07, Tabla 7)</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4400"/>
        <w:gridCol w:w="5600"/>
        <w:gridCol w:w="3958"/>
      </w:tblGrid>
      <w:tr>
        <w:trPr>
          <w:cantSplit/>
          <w:tblHeader/>
        </w:trPr>
        <w:tc>
          <w:tcPr>
            <w:tcW w:type="dxa" w:w="4400"/>
            <w:tcBorders>
              <w:top w:val="single" w:color="999999" w:sz="4"/>
              <w:left w:val="single" w:color="999999" w:sz="4"/>
              <w:bottom w:val="single" w:color="999999" w:sz="4"/>
              <w:right w:val="single" w:color="999999" w:sz="4"/>
            </w:tcBorders>
            <w:shd w:fill="D5DCE4" w:color="auto" w:val="clear"/>
            <w:tcMar>
              <w:top w:type="dxa" w:w="50"/>
              <w:left w:type="dxa" w:w="80"/>
              <w:bottom w:type="dxa" w:w="50"/>
              <w:right w:type="dxa" w:w="80"/>
            </w:tcMar>
          </w:tcPr>
          <w:p>
            <w:pPr>
              <w:spacing w:after="20"/>
            </w:pPr>
            <w:r>
              <w:rPr>
                <w:rFonts w:ascii="Arial" w:cs="Arial" w:eastAsia="Arial" w:hAnsi="Arial"/>
                <w:b/>
                <w:bCs/>
                <w:sz w:val="17"/>
                <w:szCs w:val="17"/>
              </w:rPr>
              <w:t xml:space="preserve">Criterio de la rúbrica</w:t>
            </w:r>
          </w:p>
        </w:tc>
        <w:tc>
          <w:tcPr>
            <w:tcW w:type="dxa" w:w="5600"/>
            <w:tcBorders>
              <w:top w:val="single" w:color="999999" w:sz="4"/>
              <w:left w:val="single" w:color="999999" w:sz="4"/>
              <w:bottom w:val="single" w:color="999999" w:sz="4"/>
              <w:right w:val="single" w:color="999999" w:sz="4"/>
            </w:tcBorders>
            <w:shd w:fill="D5DCE4" w:color="auto" w:val="clear"/>
            <w:tcMar>
              <w:top w:type="dxa" w:w="50"/>
              <w:left w:type="dxa" w:w="80"/>
              <w:bottom w:type="dxa" w:w="50"/>
              <w:right w:type="dxa" w:w="80"/>
            </w:tcMar>
          </w:tcPr>
          <w:p>
            <w:pPr>
              <w:spacing w:after="20"/>
            </w:pPr>
            <w:r>
              <w:rPr>
                <w:rFonts w:ascii="Arial" w:cs="Arial" w:eastAsia="Arial" w:hAnsi="Arial"/>
                <w:b/>
                <w:bCs/>
                <w:sz w:val="17"/>
                <w:szCs w:val="17"/>
              </w:rPr>
              <w:t xml:space="preserve">Situación en el informe v3</w:t>
            </w:r>
          </w:p>
        </w:tc>
        <w:tc>
          <w:tcPr>
            <w:tcW w:type="dxa" w:w="3958"/>
            <w:tcBorders>
              <w:top w:val="single" w:color="999999" w:sz="4"/>
              <w:left w:val="single" w:color="999999" w:sz="4"/>
              <w:bottom w:val="single" w:color="999999" w:sz="4"/>
              <w:right w:val="single" w:color="999999" w:sz="4"/>
            </w:tcBorders>
            <w:shd w:fill="D5DCE4" w:color="auto" w:val="clear"/>
            <w:tcMar>
              <w:top w:type="dxa" w:w="50"/>
              <w:left w:type="dxa" w:w="80"/>
              <w:bottom w:type="dxa" w:w="50"/>
              <w:right w:type="dxa" w:w="80"/>
            </w:tcMar>
          </w:tcPr>
          <w:p>
            <w:pPr>
              <w:spacing w:after="20"/>
            </w:pPr>
            <w:r>
              <w:rPr>
                <w:rFonts w:ascii="Arial" w:cs="Arial" w:eastAsia="Arial" w:hAnsi="Arial"/>
                <w:b/>
                <w:bCs/>
                <w:sz w:val="17"/>
                <w:szCs w:val="17"/>
              </w:rPr>
              <w:t xml:space="preserve">Pendiente</w:t>
            </w:r>
          </w:p>
        </w:tc>
      </w:tr>
      <w:tr>
        <w:trPr>
          <w:cantSplit/>
          <w:tblHeader w:val="false"/>
        </w:trPr>
        <w:tc>
          <w:tcPr>
            <w:tcW w:type="dxa" w:w="4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b w:val="false"/>
                <w:bCs w:val="false"/>
                <w:sz w:val="17"/>
                <w:szCs w:val="17"/>
              </w:rPr>
              <w:t xml:space="preserve">5. Introducción en prosa, sin subtítulos, en tercera persona y en pasado; realidad problemática con la importancia del problema y el ODS relacionado</w:t>
            </w:r>
          </w:p>
        </w:tc>
        <w:tc>
          <w:tcPr>
            <w:tcW w:type="dxa" w:w="5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b w:val="false"/>
                <w:bCs w:val="false"/>
                <w:sz w:val="17"/>
                <w:szCs w:val="17"/>
              </w:rPr>
              <w:t xml:space="preserve">Cumple en forma: prosa continua, tercera persona, realidad en pasado, ODS 3 y 9 en futuro, proyección del problema.</w:t>
            </w:r>
          </w:p>
        </w:tc>
        <w:tc>
          <w:tcPr>
            <w:tcW w:type="dxa" w:w="3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b w:val="false"/>
                <w:bCs w:val="false"/>
                <w:sz w:val="17"/>
                <w:szCs w:val="17"/>
              </w:rPr>
              <w:t xml:space="preserve">Datos reales de la fundación (65 % y dimensionamiento).</w:t>
            </w:r>
          </w:p>
        </w:tc>
      </w:tr>
      <w:tr>
        <w:trPr>
          <w:cantSplit/>
          <w:tblHeader w:val="false"/>
        </w:trPr>
        <w:tc>
          <w:tcPr>
            <w:tcW w:type="dxa" w:w="4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b w:val="false"/>
                <w:bCs w:val="false"/>
                <w:sz w:val="17"/>
                <w:szCs w:val="17"/>
              </w:rPr>
              <w:t xml:space="preserve">6. Problema interrogativo con variables y objeto de estudio; justificación que expresa la importancia de su ejecución</w:t>
            </w:r>
          </w:p>
        </w:tc>
        <w:tc>
          <w:tcPr>
            <w:tcW w:type="dxa" w:w="5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b w:val="false"/>
                <w:bCs w:val="false"/>
                <w:sz w:val="17"/>
                <w:szCs w:val="17"/>
              </w:rPr>
              <w:t xml:space="preserve">Problemas en forma interrogativa con ambas variables y el contexto; justificación teórica, práctica y metodológica en presente.</w:t>
            </w:r>
          </w:p>
        </w:tc>
        <w:tc>
          <w:tcPr>
            <w:tcW w:type="dxa" w:w="3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b w:val="false"/>
                <w:bCs w:val="false"/>
                <w:sz w:val="17"/>
                <w:szCs w:val="17"/>
              </w:rPr>
              <w:t xml:space="preserve">—</w:t>
            </w:r>
          </w:p>
        </w:tc>
      </w:tr>
      <w:tr>
        <w:trPr>
          <w:cantSplit/>
          <w:tblHeader w:val="false"/>
        </w:trPr>
        <w:tc>
          <w:tcPr>
            <w:tcW w:type="dxa" w:w="4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b w:val="false"/>
                <w:bCs w:val="false"/>
                <w:sz w:val="17"/>
                <w:szCs w:val="17"/>
              </w:rPr>
              <w:t xml:space="preserve">7. Objetivos vinculados a las preguntas</w:t>
            </w:r>
          </w:p>
        </w:tc>
        <w:tc>
          <w:tcPr>
            <w:tcW w:type="dxa" w:w="5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b w:val="false"/>
                <w:bCs w:val="false"/>
                <w:sz w:val="17"/>
                <w:szCs w:val="17"/>
              </w:rPr>
              <w:t xml:space="preserve">Correspondencia uno a uno entre las cuatro preguntas y los cuatro objetivos.</w:t>
            </w:r>
          </w:p>
        </w:tc>
        <w:tc>
          <w:tcPr>
            <w:tcW w:type="dxa" w:w="3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b w:val="false"/>
                <w:bCs w:val="false"/>
                <w:sz w:val="17"/>
                <w:szCs w:val="17"/>
              </w:rPr>
              <w:t xml:space="preserve">—</w:t>
            </w:r>
          </w:p>
        </w:tc>
      </w:tr>
      <w:tr>
        <w:trPr>
          <w:cantSplit/>
          <w:tblHeader w:val="false"/>
        </w:trPr>
        <w:tc>
          <w:tcPr>
            <w:tcW w:type="dxa" w:w="4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b w:val="false"/>
                <w:bCs w:val="false"/>
                <w:sz w:val="17"/>
                <w:szCs w:val="17"/>
              </w:rPr>
              <w:t xml:space="preserve">10. Hipótesis basadas en teorías o antecedentes</w:t>
            </w:r>
          </w:p>
        </w:tc>
        <w:tc>
          <w:tcPr>
            <w:tcW w:type="dxa" w:w="5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b w:val="false"/>
                <w:bCs w:val="false"/>
                <w:sz w:val="17"/>
                <w:szCs w:val="17"/>
              </w:rPr>
              <w:t xml:space="preserve">El párrafo de hipótesis se sustenta en Woodcock et al., Kurniawan et al., Unlu et al. y Wah.</w:t>
            </w:r>
          </w:p>
        </w:tc>
        <w:tc>
          <w:tcPr>
            <w:tcW w:type="dxa" w:w="3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b w:val="false"/>
                <w:bCs w:val="false"/>
                <w:sz w:val="17"/>
                <w:szCs w:val="17"/>
              </w:rPr>
              <w:t xml:space="preserve">Reforzar con las teorías en la Sesión 4.</w:t>
            </w:r>
          </w:p>
        </w:tc>
      </w:tr>
    </w:tbl>
    <w:p>
      <w:pPr>
        <w:sectPr>
          <w:pgSz w:w="16838" w:h="11906" w:orient="landscape"/>
          <w:pgMar w:top="1440" w:right="1440" w:bottom="1440" w:left="1440" w:header="708" w:footer="708" w:gutter="0"/>
          <w:pgNumType/>
          <w:docGrid w:linePitch="360"/>
        </w:sectPr>
      </w:pPr>
    </w:p>
    <w:p>
      <w:pPr>
        <w:pStyle w:val="Heading1"/>
        <w:spacing w:after="120" w:before="240"/>
      </w:pPr>
      <w:r>
        <w:rPr>
          <w:rFonts w:ascii="Arial" w:cs="Arial" w:eastAsia="Arial" w:hAnsi="Arial"/>
          <w:b/>
          <w:bCs/>
          <w:color w:val="1F3864"/>
          <w:sz w:val="26"/>
          <w:szCs w:val="26"/>
        </w:rPr>
        <w:t xml:space="preserve">7. Observaciones sobre las formulaciones conservadas</w:t>
      </w:r>
    </w:p>
    <w:p>
      <w:pPr>
        <w:spacing w:after="110" w:line="300"/>
        <w:jc w:val="both"/>
      </w:pPr>
      <w:r>
        <w:rPr>
          <w:rFonts w:ascii="Arial" w:cs="Arial" w:eastAsia="Arial" w:hAnsi="Arial"/>
          <w:sz w:val="22"/>
          <w:szCs w:val="22"/>
        </w:rPr>
        <w:t xml:space="preserve">Las siguientes observaciones no implican cambiar la redacción. Sirven para anticipar preguntas del jurado y para tener lista la respuesta en la sustentación.</w:t>
      </w:r>
    </w:p>
    <w:p>
      <w:pPr>
        <w:pStyle w:val="ListParagraph"/>
        <w:numPr>
          <w:ilvl w:val="0"/>
          <w:numId w:val="2"/>
        </w:numPr>
        <w:spacing w:after="70" w:line="280"/>
      </w:pPr>
      <w:r>
        <w:rPr>
          <w:rFonts w:ascii="Arial" w:cs="Arial" w:eastAsia="Arial" w:hAnsi="Arial"/>
          <w:b/>
          <w:bCs/>
          <w:sz w:val="22"/>
          <w:szCs w:val="22"/>
        </w:rPr>
        <w:t xml:space="preserve">"Mejora el tiempo promedio de registro" y "mejora el nivel de consultas atendidas".</w:t>
      </w:r>
      <w:r>
        <w:rPr>
          <w:rFonts w:ascii="Arial" w:cs="Arial" w:eastAsia="Arial" w:hAnsi="Arial"/>
          <w:sz w:val="22"/>
          <w:szCs w:val="22"/>
        </w:rPr>
        <w:t xml:space="preserve"> Un jurado podría preguntar en qué sentido se mejora cada indicador. La respuesta ya está en la metodología: la mejora del TPR se contrasta como una disminución y la del NCA como un aumento.</w:t>
      </w:r>
    </w:p>
    <w:p>
      <w:pPr>
        <w:pStyle w:val="ListParagraph"/>
        <w:numPr>
          <w:ilvl w:val="0"/>
          <w:numId w:val="2"/>
        </w:numPr>
        <w:spacing w:after="70" w:line="280"/>
      </w:pPr>
      <w:r>
        <w:rPr>
          <w:rFonts w:ascii="Arial" w:cs="Arial" w:eastAsia="Arial" w:hAnsi="Arial"/>
          <w:b/>
          <w:bCs/>
          <w:sz w:val="22"/>
          <w:szCs w:val="22"/>
        </w:rPr>
        <w:t xml:space="preserve">"…para la gestión de pacientes…" en los problemas y objetivos específicos.</w:t>
      </w:r>
      <w:r>
        <w:rPr>
          <w:rFonts w:ascii="Arial" w:cs="Arial" w:eastAsia="Arial" w:hAnsi="Arial"/>
          <w:sz w:val="22"/>
          <w:szCs w:val="22"/>
        </w:rPr>
        <w:t xml:space="preserve"> Puede leerse como redundante, pero expresa que cada indicador pertenece a una dimensión de la variable dependiente. Esa es la explicación a dar si se observa.</w:t>
      </w:r>
    </w:p>
    <w:p>
      <w:pPr>
        <w:pStyle w:val="ListParagraph"/>
        <w:numPr>
          <w:ilvl w:val="0"/>
          <w:numId w:val="2"/>
        </w:numPr>
        <w:spacing w:after="70" w:line="280"/>
      </w:pPr>
      <w:r>
        <w:rPr>
          <w:rFonts w:ascii="Arial" w:cs="Arial" w:eastAsia="Arial" w:hAnsi="Arial"/>
          <w:b/>
          <w:bCs/>
          <w:sz w:val="22"/>
          <w:szCs w:val="22"/>
        </w:rPr>
        <w:t xml:space="preserve">"Significativamente" solo en la hipótesis general.</w:t>
      </w:r>
      <w:r>
        <w:rPr>
          <w:rFonts w:ascii="Arial" w:cs="Arial" w:eastAsia="Arial" w:hAnsi="Arial"/>
          <w:sz w:val="22"/>
          <w:szCs w:val="22"/>
        </w:rPr>
        <w:t xml:space="preserve"> No afecta el contraste, porque las tres hipótesis específicas se prueban con el mismo nivel de significancia (α = 0,05).</w:t>
      </w:r>
    </w:p>
    <w:p>
      <w:pPr>
        <w:pStyle w:val="ListParagraph"/>
        <w:numPr>
          <w:ilvl w:val="0"/>
          <w:numId w:val="2"/>
        </w:numPr>
        <w:spacing w:after="70" w:line="280"/>
      </w:pPr>
      <w:r>
        <w:rPr>
          <w:rFonts w:ascii="Arial" w:cs="Arial" w:eastAsia="Arial" w:hAnsi="Arial"/>
          <w:b/>
          <w:bCs/>
          <w:sz w:val="22"/>
          <w:szCs w:val="22"/>
        </w:rPr>
        <w:t xml:space="preserve">Verbo "influye" con un diseño preexperimental.</w:t>
      </w:r>
      <w:r>
        <w:rPr>
          <w:rFonts w:ascii="Arial" w:cs="Arial" w:eastAsia="Arial" w:hAnsi="Arial"/>
          <w:sz w:val="22"/>
          <w:szCs w:val="22"/>
        </w:rPr>
        <w:t xml:space="preserve"> Es coherente con el alcance explicativo declarado; la metodología reconoce las amenazas a la validez interna por la ausencia de grupo de control.</w:t>
      </w:r>
    </w:p>
    <w:p>
      <w:pPr>
        <w:pStyle w:val="Heading1"/>
        <w:spacing w:after="120" w:before="240"/>
      </w:pPr>
      <w:r>
        <w:rPr>
          <w:rFonts w:ascii="Arial" w:cs="Arial" w:eastAsia="Arial" w:hAnsi="Arial"/>
          <w:b/>
          <w:bCs/>
          <w:color w:val="1F3864"/>
          <w:sz w:val="26"/>
          <w:szCs w:val="26"/>
        </w:rPr>
        <w:t xml:space="preserve">8. Resultado de la sesión</w:t>
      </w:r>
    </w:p>
    <w:p>
      <w:pPr>
        <w:spacing w:after="110" w:line="300"/>
        <w:jc w:val="both"/>
      </w:pPr>
      <w:r>
        <w:rPr>
          <w:rFonts w:ascii="Arial" w:cs="Arial" w:eastAsia="Arial" w:hAnsi="Arial"/>
          <w:b/>
          <w:bCs/>
          <w:sz w:val="22"/>
          <w:szCs w:val="22"/>
        </w:rPr>
        <w:t xml:space="preserve">(a) Lo que se hizo.</w:t>
      </w:r>
      <w:r>
        <w:rPr>
          <w:rFonts w:ascii="Arial" w:cs="Arial" w:eastAsia="Arial" w:hAnsi="Arial"/>
          <w:sz w:val="22"/>
          <w:szCs w:val="22"/>
        </w:rPr>
        <w:t xml:space="preserve"> Se restituyó la redacción original de las doce formulaciones en todo el informe (capítulo I, resumen, consentimiento, matriz de consistencia) y se verificó su coincidencia textual. Se reforzó la realidad problemática con la proyección del problema y un espacio para datos de dimensionamiento. Se precisó en la metodología cómo se contrasta cada hipótesis y la regla para la hipótesis general. Todo quedó en el informe v3.</w:t>
      </w:r>
    </w:p>
    <w:p>
      <w:pPr>
        <w:spacing w:after="110" w:line="300"/>
        <w:jc w:val="both"/>
      </w:pPr>
      <w:r>
        <w:rPr>
          <w:rFonts w:ascii="Arial" w:cs="Arial" w:eastAsia="Arial" w:hAnsi="Arial"/>
          <w:b/>
          <w:bCs/>
          <w:sz w:val="22"/>
          <w:szCs w:val="22"/>
        </w:rPr>
        <w:t xml:space="preserve">(b) Lo que falta.</w:t>
      </w:r>
      <w:r>
        <w:rPr>
          <w:rFonts w:ascii="Arial" w:cs="Arial" w:eastAsia="Arial" w:hAnsi="Arial"/>
          <w:sz w:val="22"/>
          <w:szCs w:val="22"/>
        </w:rPr>
        <w:t xml:space="preserve"> Los datos reales de la realidad local (65 % y dimensionamiento) y la validación con el asesor de la regla de decisión de la hipótesis general.</w:t>
      </w:r>
    </w:p>
    <w:p>
      <w:pPr>
        <w:spacing w:after="110" w:line="300"/>
        <w:jc w:val="both"/>
      </w:pPr>
      <w:r>
        <w:rPr>
          <w:rFonts w:ascii="Arial" w:cs="Arial" w:eastAsia="Arial" w:hAnsi="Arial"/>
          <w:b/>
          <w:bCs/>
          <w:sz w:val="22"/>
          <w:szCs w:val="22"/>
        </w:rPr>
        <w:t xml:space="preserve">(c) Qué necesito para la Sesión 3 (Antecedentes).</w:t>
      </w:r>
      <w:r>
        <w:rPr>
          <w:rFonts w:ascii="Arial" w:cs="Arial" w:eastAsia="Arial" w:hAnsi="Arial"/>
          <w:sz w:val="22"/>
          <w:szCs w:val="22"/>
        </w:rPr>
        <w:t xml:space="preserve"> Los PDF o enlaces de los antecedentes que quieran mantener, en especial Singh et al. y Alturbag para verificar sus cifras. También, si su asesor exige un número de antecedentes nacionales en artículos indexados. Voy a proponer reemplazos indexados en Scopus, WoS o SciELO para las fuentes que no califican, pero solo con artículos verificables.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00"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2026-09-26T21:21:02.707Z</dcterms:created>
  <dcterms:modified xsi:type="dcterms:W3CDTF">2026-09-26T21:21:02.708Z</dcterms:modified>
</cp:coreProperties>
</file>

<file path=docProps/custom.xml><?xml version="1.0" encoding="utf-8"?>
<Properties xmlns="http://schemas.openxmlformats.org/officeDocument/2006/custom-properties" xmlns:vt="http://schemas.openxmlformats.org/officeDocument/2006/docPropsVTypes"/>
</file>