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DE PRÁCTICA: ANÁLISIS ESTADÍSTICO CON DATOS SIMULADOS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7C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Advertencia.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Todos los números de este documento provienen de datos generados al azar por computadora (archivo SIMULACION_Instrumento_v6_NO_USAR_EN_TESIS.xlsx). No describen a la fundación ni a sus pacientes. Sirven solo para aprender a ejecutar y leer el análisis.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Ninguna cifra ni tabla de este ejercicio puede copiarse en la tesis: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hacerlo sería fabricación de datos.</w:t>
            </w:r>
          </w:p>
        </w:tc>
      </w:tr>
    </w:tbl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Cómo se generaron los datos simulados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Se usó un generador de números aleatorios (semilla 2026) con valores de partida elegidos para el ejercicio, no obtenidos de la fundación. En el pretest simulado, los registros duran alrededor de 9 minutos; el 28 % de las citas no se cumple sin aviso; y el 62 % de las consultas se resuelve en el primer contacto. En el postest simulado, esos valores son de unos 4 minutos, 12 % y 82 %, respectivamente. Se dejó a propósito una sesión del pretest sin registros (par 5) para que vean cómo se excluye un par incompleto.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de la simulación: 40 registros de pacientes, 273 citas y 247 consultas. La hoja Control_Calidad no marcó alertas.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Los 13 pares (hoja SPSS_Pares)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800"/>
        <w:gridCol w:w="850"/>
        <w:gridCol w:w="850"/>
        <w:gridCol w:w="850"/>
        <w:gridCol w:w="850"/>
        <w:gridCol w:w="850"/>
        <w:gridCol w:w="1256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Postest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Mismo día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TPR pre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TPR post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 pre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 post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NCA pre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NCA post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7,03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6,15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33,33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8,81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4,57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11,11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66,67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7,62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11,11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62,50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5,43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41,67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62,50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33,33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75,00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6,60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57,14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69,23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10,13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4,43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28,57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12,50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70,00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12,82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57,14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57,14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75,00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9,71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4,95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22,22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70,00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84,62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9,30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42,86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8,33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44,44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91,67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44,44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57,14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78,57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18,18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88,89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31/08/2026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30/09/2026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8,93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4,61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28,57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14,29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66,67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sz w:val="19"/>
          <w:szCs w:val="19"/>
        </w:rPr>
        <w:t xml:space="preserve">Observen: el par 5 no tiene TPR (la sesión simulada del 12/08 no tuvo registros), así que el TPR se analiza con 12 pares. El par 13 es el único con días distintos (lunes y miércoles).</w:t>
      </w:r>
    </w:p>
    <w:p>
      <w:pPr>
        <w:pStyle w:val="Heading1"/>
        <w:pageBreakBefore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Paso 1: estadística descriptiva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En SPSS corresponde a las tablas "Estadísticos descriptivos" y "Estadísticos" (mediana). Describen cómo se comportó cada indicador en cada etapa, considerando solo los pares válidos.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500"/>
        <w:gridCol w:w="900"/>
        <w:gridCol w:w="900"/>
        <w:gridCol w:w="900"/>
        <w:gridCol w:w="900"/>
        <w:gridCol w:w="1606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Mediana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Desv. est.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Mínimo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Máximo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promedio de registro (min)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8,38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5,43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12,82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promedio de registro (min)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4,92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6,20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Tasa de ausentismo (%)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26,65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18,35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62,50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Tasa de ausentismo (%)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15,98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15,35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44,44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 de consultas atendidas (%)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54,11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57,14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14,29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 de consultas atendidas (%)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Postest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80,23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66,67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91,67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leerlo:</w:t>
      </w:r>
      <w:r>
        <w:rPr>
          <w:rFonts w:ascii="Arial" w:cs="Arial" w:eastAsia="Arial" w:hAnsi="Arial"/>
          <w:sz w:val="21"/>
          <w:szCs w:val="21"/>
        </w:rPr>
        <w:t xml:space="preserve"> en los datos simulados, el TPR medio baja de 8,38 a 4,81 minutos, la TA baja de 26,65 % a 15,98 % y el NCA sube de 54,11 % a 80,23 %. Todos van en la dirección esperada, pero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esto todavía no prueba nada</w:t>
      </w:r>
      <w:r>
        <w:rPr>
          <w:rFonts w:ascii="Arial" w:cs="Arial" w:eastAsia="Arial" w:hAnsi="Arial"/>
          <w:sz w:val="21"/>
          <w:szCs w:val="21"/>
        </w:rPr>
        <w:t xml:space="preserve">: falta ver si las diferencias son significativas.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Paso 2: normalidad de las diferencias (Shapiro-Wilk)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En SPSS es la tabla "Pruebas de normalidad", columna Shapiro-Wilk, filas dif_tpr, dif_ta y dif_nca.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700"/>
        <w:gridCol w:w="1100"/>
        <w:gridCol w:w="4006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Diferencia (post − pre)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Estadístico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Sig.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dif_tpr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0,952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0,670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Sig. ≥ 0,05: normal → t de Student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dif_ta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0,980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0,980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Sig. ≥ 0,05: normal → t de Student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dif_nca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0,929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0,326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Sig. ≥ 0,05: normal → t de Student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leerlo:</w:t>
      </w:r>
      <w:r>
        <w:rPr>
          <w:rFonts w:ascii="Arial" w:cs="Arial" w:eastAsia="Arial" w:hAnsi="Arial"/>
          <w:sz w:val="21"/>
          <w:szCs w:val="21"/>
        </w:rPr>
        <w:t xml:space="preserve"> en los tres casos simulados Sig. es mayor o igual que 0,05, así que las diferencias se consideran normales y corresponde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 de Student para muestras relacionadas</w:t>
      </w:r>
      <w:r>
        <w:rPr>
          <w:rFonts w:ascii="Arial" w:cs="Arial" w:eastAsia="Arial" w:hAnsi="Arial"/>
          <w:sz w:val="21"/>
          <w:szCs w:val="21"/>
        </w:rPr>
        <w:t xml:space="preserve">. Con los datos reales puede salir distinto; por eso la sintaxis ejecuta ambas pruebas y ustedes eligen según esta tabla.</w:t>
      </w:r>
    </w:p>
    <w:p>
      <w:pPr>
        <w:pStyle w:val="Heading1"/>
        <w:pageBreakBefore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Paso 3: contraste de hipótesis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Prueba t para muestras relacionadas</w:t>
      </w:r>
      <w:r>
        <w:rPr>
          <w:rFonts w:ascii="Arial" w:cs="Arial" w:eastAsia="Arial" w:hAnsi="Arial"/>
          <w:sz w:val="21"/>
          <w:szCs w:val="21"/>
        </w:rPr>
        <w:t xml:space="preserve"> (tabla "Prueba de muestras emparejadas" y "Tamaños del efecto"):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400"/>
        <w:gridCol w:w="1000"/>
        <w:gridCol w:w="600"/>
        <w:gridCol w:w="1200"/>
        <w:gridCol w:w="1206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Diferencia media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Desv. est. de la diferencia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 unilateral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 de Cohen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promedio de registro (min)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-3,58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-6,992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-2,02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Tasa de ausentismo (%)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-10,67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26,48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-1,453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0,086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-0,40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 de consultas atendidas (%)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26,12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15,57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6,047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1,68</w:t>
            </w:r>
          </w:p>
        </w:tc>
      </w:tr>
    </w:tbl>
    <w:p>
      <w:pPr>
        <w:spacing w:after="6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Prueba de Wilcoxon</w:t>
      </w:r>
      <w:r>
        <w:rPr>
          <w:rFonts w:ascii="Arial" w:cs="Arial" w:eastAsia="Arial" w:hAnsi="Arial"/>
          <w:sz w:val="21"/>
          <w:szCs w:val="21"/>
        </w:rPr>
        <w:t xml:space="preserve"> (se usaría si no hubiera normalidad; se muestra para que conozcan la tabla):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1000"/>
        <w:gridCol w:w="1200"/>
        <w:gridCol w:w="1200"/>
        <w:gridCol w:w="1006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Rangos negativos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Rangos positivos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Sig. bilateral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 unilateral</w:t>
            </w:r>
          </w:p>
        </w:tc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promedio de registro (min)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-3,059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0,001</w:t>
            </w:r>
          </w:p>
        </w:tc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0,88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Tasa de ausentismo (%)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-1,223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0,221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0,111</w:t>
            </w:r>
          </w:p>
        </w:tc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0,34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 de consultas atendidas (%)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-3,180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0,88</w:t>
            </w:r>
          </w:p>
        </w:tc>
      </w:tr>
    </w:tbl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Paso 4: decisión sobre cada hipótesis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400"/>
        <w:gridCol w:w="3306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Hipótesis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Dirección esperada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Diferencia media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 unilateral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Decisión (α = 0,05)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HE1 (TPR)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Debe bajar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-3,58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rechaza H0: hay influencia significativa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HE2 (TA)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Debe bajar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-10,67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0,086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 rechaza H0: la diferencia no es significativa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HE3 (NCA)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Debe subir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26,12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rechaza H0: hay influencia significativa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Hipótesis general:</w:t>
      </w:r>
      <w:r>
        <w:rPr>
          <w:rFonts w:ascii="Arial" w:cs="Arial" w:eastAsia="Arial" w:hAnsi="Arial"/>
          <w:sz w:val="21"/>
          <w:szCs w:val="21"/>
        </w:rPr>
        <w:t xml:space="preserve"> con la regla propuesta (los tres indicadores significativos),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se aceptaría, porque la TA no resultó significativa.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Lección importante: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esta simulación la TA bajó de 26,65 % a 15,98 %, pero la prueba no fue significativa (p unilateral = 0,086), porque el ausentismo variaba mucho de una sesión a otra. Con datos reales esto puede ocurrir. Un resultado no significativo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es un 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 reporta tal cual, se discute (por ejemplo, el número reducido de pares) y no se modifican datos ni pruebas para que "salga".</w:t>
            </w:r>
          </w:p>
        </w:tc>
      </w:tr>
    </w:tbl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Paso 5: análisis de sensibilidad (sin el par 13)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800"/>
        <w:gridCol w:w="1800"/>
        <w:gridCol w:w="290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Diferencia media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 unilateral (t)</w:t>
            </w:r>
          </w:p>
        </w:tc>
        <w:tc>
          <w:tcPr>
            <w:tcW w:type="dxa" w:w="2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¿Cambia la decisión?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-3,51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2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-11,86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0,080</w:t>
            </w:r>
          </w:p>
        </w:tc>
        <w:tc>
          <w:tcPr>
            <w:tcW w:type="dxa" w:w="2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23,93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0,001</w:t>
            </w:r>
          </w:p>
        </w:tc>
        <w:tc>
          <w:tcPr>
            <w:tcW w:type="dxa" w:w="2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leerlo:</w:t>
      </w:r>
      <w:r>
        <w:rPr>
          <w:rFonts w:ascii="Arial" w:cs="Arial" w:eastAsia="Arial" w:hAnsi="Arial"/>
          <w:sz w:val="21"/>
          <w:szCs w:val="21"/>
        </w:rPr>
        <w:t xml:space="preserve"> si la decisión no cambia al quitar el par con días distintos, el emparejamiento no afectó la conclusión. En la tesis se menciona en una o dos oraciones.</w:t>
      </w:r>
    </w:p>
    <w:p>
      <w:pPr>
        <w:pStyle w:val="Heading1"/>
        <w:pageBreakBefore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Cómo se redacta cada resultado (plantilla, sin números)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Para la tesis, la redacción debe usar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solo los valores reales</w:t>
      </w:r>
      <w:r>
        <w:rPr>
          <w:rFonts w:ascii="Arial" w:cs="Arial" w:eastAsia="Arial" w:hAnsi="Arial"/>
          <w:sz w:val="21"/>
          <w:szCs w:val="21"/>
        </w:rPr>
        <w:t xml:space="preserve"> que obtengan en SPSS. Plantilla para cada hipótesis específica: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"El [indicador] pasó de una media de [valor pre] en el pretest a [valor post] en el postest. La prueba de Shapiro-Wilk indicó que las diferencias [sí / no] siguieron una distribución normal (p = [valor]), por lo que se aplicó la prueba [t de Student para muestras relacionadas / de Wilcoxon]. El resultado fue [t o Z] = [valor], con p unilateral = [valor], por lo que [se rechazó / no se rechazó] la hipótesis nula. El tamaño del efecto fue [d o r] = [valor]."</w:t>
            </w:r>
          </w:p>
        </w:tc>
      </w:tr>
    </w:tbl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Cómo practicar con SPSS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Arial" w:cs="Arial" w:eastAsia="Arial" w:hAnsi="Arial"/>
          <w:sz w:val="21"/>
          <w:szCs w:val="21"/>
        </w:rPr>
        <w:t xml:space="preserve">Copien SIMULACION_Instrumento_v6_NO_USAR_EN_TESIS.xlsx a su carpeta de trabajo (por ejemplo, C:\Tesis\).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Arial" w:cs="Arial" w:eastAsia="Arial" w:hAnsi="Arial"/>
          <w:sz w:val="21"/>
          <w:szCs w:val="21"/>
        </w:rPr>
        <w:t xml:space="preserve">En Analisis_SPSS.sps, cambien el nombre del archivo en la línea /FILE por el del archivo simulado. Cambien también la línea SAVE OUTFILE a Pares_SIMULACION.sav para no confundirlo con el real.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Arial" w:cs="Arial" w:eastAsia="Arial" w:hAnsi="Arial"/>
          <w:sz w:val="21"/>
          <w:szCs w:val="21"/>
        </w:rPr>
        <w:t xml:space="preserve">Ejecuten todo y comparen las tablas del Visor con las de este documento. Pueden diferir en el último decimal por redondeo.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Arial" w:cs="Arial" w:eastAsia="Arial" w:hAnsi="Arial"/>
          <w:sz w:val="21"/>
          <w:szCs w:val="21"/>
        </w:rPr>
        <w:t xml:space="preserve">Cuando tengan los datos reales, vuelvan a poner el nombre del archivo real (Instrumento_v6_PRE_POST.xlsx) y a ejecutar.</w:t>
      </w:r>
    </w:p>
    <w:p>
      <w:pPr>
        <w:spacing w:after="100" w:line="29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estos cálculos se hicieron en Python replicando los procedimientos de SPSS (descriptivos, Shapiro-Wilk, t pareada, Wilcoxon con aproximación normal y corrección por empates). SPSS no estaba disponible en el entorno de trabajo.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C00000"/>
        <w:sz w:val="16"/>
        <w:szCs w:val="16"/>
      </w:rPr>
      <w:t xml:space="preserve">Ejercicio con datos simulados · pág. </w:t>
    </w:r>
    <w:r>
      <w:rPr>
        <w:rFonts w:ascii="Arial" w:cs="Arial" w:eastAsia="Arial" w:hAnsi="Arial"/>
        <w:color w:val="C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C00000"/>
        <w:sz w:val="20"/>
        <w:szCs w:val="20"/>
      </w:rPr>
      <w:t xml:space="preserve">DATOS SIMULADOS — SOLO PARA PRÁCTICA — NO USAR EN LA TESIS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2026-09-27T02:22:24.099Z</dcterms:created>
  <dcterms:modified xsi:type="dcterms:W3CDTF">2026-09-27T02:22:24.109Z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