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171" w:rsidRPr="00D75171" w:rsidRDefault="00D75171" w:rsidP="009022D7">
      <w:pPr>
        <w:pStyle w:val="Heading1"/>
      </w:pPr>
      <w:r w:rsidRPr="00D75171">
        <w:t xml:space="preserve">MISRA-C Compliance Report for </w:t>
      </w:r>
      <w:r w:rsidR="009022D7">
        <w:t>Calculator</w:t>
      </w:r>
      <w:r w:rsidRPr="00D75171">
        <w:t xml:space="preserve"> Project</w:t>
      </w:r>
    </w:p>
    <w:p w:rsidR="00D75171" w:rsidRPr="00D75171" w:rsidRDefault="00D75171" w:rsidP="00D75171"/>
    <w:p w:rsidR="00D75171" w:rsidRPr="00D75171" w:rsidRDefault="00D75171" w:rsidP="003959BD">
      <w:r w:rsidRPr="00D75171">
        <w:t xml:space="preserve">Project: </w:t>
      </w:r>
      <w:r w:rsidR="003959BD">
        <w:t>Calculator</w:t>
      </w:r>
    </w:p>
    <w:p w:rsidR="00D75171" w:rsidRPr="00D75171" w:rsidRDefault="00D75171" w:rsidP="00D75171">
      <w:r w:rsidRPr="00D75171">
        <w:t>Date: 28/8/2023</w:t>
      </w:r>
    </w:p>
    <w:p w:rsidR="00D75171" w:rsidRPr="00D75171" w:rsidRDefault="00D75171" w:rsidP="00D75171"/>
    <w:p w:rsidR="00D75171" w:rsidRDefault="00D75171" w:rsidP="00D75171">
      <w:pPr>
        <w:pStyle w:val="Heading2"/>
      </w:pPr>
      <w:r>
        <w:t>1. Introduction</w:t>
      </w:r>
    </w:p>
    <w:p w:rsidR="00D75171" w:rsidRPr="00D75171" w:rsidRDefault="00D75171" w:rsidP="00D75171"/>
    <w:p w:rsidR="00D75171" w:rsidRPr="00D75171" w:rsidRDefault="00D75171" w:rsidP="00832C0B">
      <w:r w:rsidRPr="00D75171">
        <w:t xml:space="preserve">The MISRA-C Compliance Report provides an overview of the warnings encountered during the development of the </w:t>
      </w:r>
      <w:r w:rsidR="00832C0B">
        <w:t>Calculator</w:t>
      </w:r>
      <w:r w:rsidRPr="00D75171">
        <w:t xml:space="preserve"> project. The purpose of this report is to identify the warnings, categorize them based on MISRA-C rules, and suggest possible solutions to address these warnings.</w:t>
      </w:r>
    </w:p>
    <w:p w:rsidR="00D75171" w:rsidRPr="00D75171" w:rsidRDefault="00D75171" w:rsidP="00D75171"/>
    <w:p w:rsidR="00D75171" w:rsidRPr="00D75171" w:rsidRDefault="00D75171" w:rsidP="00D75171">
      <w:pPr>
        <w:pStyle w:val="Heading2"/>
      </w:pPr>
      <w:r>
        <w:t>2. Summary of Warnings</w:t>
      </w:r>
    </w:p>
    <w:p w:rsidR="00D75171" w:rsidRPr="00D75171" w:rsidRDefault="00D75171" w:rsidP="00D75171"/>
    <w:p w:rsidR="00D75171" w:rsidRPr="00D75171" w:rsidRDefault="00D75171" w:rsidP="00D847DE">
      <w:r w:rsidRPr="00D75171">
        <w:t xml:space="preserve">A total of </w:t>
      </w:r>
      <w:r w:rsidR="00D847DE">
        <w:t>151</w:t>
      </w:r>
      <w:r w:rsidRPr="00D75171">
        <w:t xml:space="preserve"> MISRA-C warnings were encountered in the </w:t>
      </w:r>
      <w:r w:rsidR="00832C0B">
        <w:t>Calculator</w:t>
      </w:r>
      <w:r w:rsidRPr="00D75171">
        <w:t xml:space="preserve"> project. These warnings are categorized based on the specific MISRA-C rule violated.</w:t>
      </w:r>
    </w:p>
    <w:p w:rsidR="00D75171" w:rsidRPr="00D75171" w:rsidRDefault="00D75171" w:rsidP="00D75171"/>
    <w:p w:rsidR="00D75171" w:rsidRPr="00D847DE" w:rsidRDefault="00D75171" w:rsidP="00D75171">
      <w:r w:rsidRPr="00D847DE">
        <w:t>- Rule 1.1: Ensure strict ANSI C mode (-</w:t>
      </w:r>
      <w:proofErr w:type="spellStart"/>
      <w:r w:rsidRPr="00D847DE">
        <w:t>ps</w:t>
      </w:r>
      <w:proofErr w:type="spellEnd"/>
      <w:r w:rsidRPr="00D847DE">
        <w:t>) is enabled - 1 warnings</w:t>
      </w:r>
    </w:p>
    <w:p w:rsidR="00513A03" w:rsidRPr="00D847DE" w:rsidRDefault="00513A03" w:rsidP="00F10BFC">
      <w:r w:rsidRPr="00D847DE">
        <w:t xml:space="preserve">- Rule </w:t>
      </w:r>
      <w:r w:rsidRPr="00D847DE">
        <w:t>5.7</w:t>
      </w:r>
      <w:r w:rsidRPr="00D847DE">
        <w:t xml:space="preserve">: </w:t>
      </w:r>
      <w:r w:rsidRPr="00D847DE">
        <w:t>No identi</w:t>
      </w:r>
      <w:r w:rsidR="00F10BFC" w:rsidRPr="00D847DE">
        <w:t xml:space="preserve">fier name should be reused </w:t>
      </w:r>
      <w:r w:rsidR="00F10BFC" w:rsidRPr="00D847DE">
        <w:t xml:space="preserve">– </w:t>
      </w:r>
      <w:r w:rsidR="00F10BFC" w:rsidRPr="00D847DE">
        <w:t>10</w:t>
      </w:r>
      <w:r w:rsidR="00F10BFC" w:rsidRPr="00D847DE">
        <w:t xml:space="preserve"> warnings</w:t>
      </w:r>
    </w:p>
    <w:p w:rsidR="00513A03" w:rsidRPr="00D847DE" w:rsidRDefault="00513A03" w:rsidP="00457975">
      <w:r w:rsidRPr="00D847DE">
        <w:t xml:space="preserve">- Rule </w:t>
      </w:r>
      <w:r w:rsidRPr="00D847DE">
        <w:t>6.1</w:t>
      </w:r>
      <w:r w:rsidRPr="00D847DE">
        <w:t>:</w:t>
      </w:r>
      <w:r w:rsidRPr="00D847DE">
        <w:t xml:space="preserve"> The plain char type shall be used only for the stor</w:t>
      </w:r>
      <w:r w:rsidRPr="00D847DE">
        <w:t>age and use of character values</w:t>
      </w:r>
      <w:r w:rsidR="00457975" w:rsidRPr="00D847DE">
        <w:t xml:space="preserve"> </w:t>
      </w:r>
      <w:r w:rsidR="00457975" w:rsidRPr="00D847DE">
        <w:t xml:space="preserve">– </w:t>
      </w:r>
      <w:r w:rsidR="00457975" w:rsidRPr="00D847DE">
        <w:t>15</w:t>
      </w:r>
      <w:r w:rsidR="00457975" w:rsidRPr="00D847DE">
        <w:t xml:space="preserve"> warnings</w:t>
      </w:r>
    </w:p>
    <w:p w:rsidR="00513A03" w:rsidRPr="00D847DE" w:rsidRDefault="00513A03" w:rsidP="00457975">
      <w:r w:rsidRPr="00D847DE">
        <w:t xml:space="preserve">- Rule </w:t>
      </w:r>
      <w:r w:rsidRPr="00D847DE">
        <w:t>6.2</w:t>
      </w:r>
      <w:r w:rsidRPr="00D847DE">
        <w:t>:</w:t>
      </w:r>
      <w:r w:rsidRPr="00D847DE">
        <w:t xml:space="preserve"> </w:t>
      </w:r>
      <w:r w:rsidRPr="00D847DE">
        <w:t>S</w:t>
      </w:r>
      <w:r w:rsidRPr="00D847DE">
        <w:t>igned and unsigned char type shall be used only for the st</w:t>
      </w:r>
      <w:r w:rsidRPr="00D847DE">
        <w:t>orage and use of numeric values</w:t>
      </w:r>
      <w:r w:rsidR="00457975" w:rsidRPr="00D847DE">
        <w:t xml:space="preserve"> </w:t>
      </w:r>
      <w:r w:rsidR="00457975" w:rsidRPr="00D847DE">
        <w:t xml:space="preserve">– </w:t>
      </w:r>
      <w:r w:rsidR="00457975" w:rsidRPr="00D847DE">
        <w:t>16</w:t>
      </w:r>
      <w:r w:rsidR="00457975" w:rsidRPr="00D847DE">
        <w:t xml:space="preserve"> warnings</w:t>
      </w:r>
    </w:p>
    <w:p w:rsidR="00D75171" w:rsidRPr="00D847DE" w:rsidRDefault="00D75171" w:rsidP="00AB4655">
      <w:r w:rsidRPr="00D847DE">
        <w:t xml:space="preserve">- Rule 6.3: </w:t>
      </w:r>
      <w:proofErr w:type="spellStart"/>
      <w:r w:rsidRPr="00D847DE">
        <w:t>Typedefs</w:t>
      </w:r>
      <w:proofErr w:type="spellEnd"/>
      <w:r w:rsidRPr="00D847DE">
        <w:t xml:space="preserve"> that indicate size and </w:t>
      </w:r>
      <w:proofErr w:type="spellStart"/>
      <w:r w:rsidRPr="00D847DE">
        <w:t>signedness</w:t>
      </w:r>
      <w:proofErr w:type="spellEnd"/>
      <w:r w:rsidRPr="00D847DE">
        <w:t xml:space="preserve"> should be used in place of the basic numerical types - </w:t>
      </w:r>
      <w:r w:rsidR="00AB4655" w:rsidRPr="00D847DE">
        <w:t>6</w:t>
      </w:r>
      <w:r w:rsidRPr="00D847DE">
        <w:t xml:space="preserve"> warnings</w:t>
      </w:r>
    </w:p>
    <w:p w:rsidR="00D75171" w:rsidRPr="00D847DE" w:rsidRDefault="00D75171" w:rsidP="00505D00">
      <w:r w:rsidRPr="00D847DE">
        <w:t xml:space="preserve">- Rule 10.1: The value of an expression of integer type shall not be implicitly converted to a different underlying type - </w:t>
      </w:r>
      <w:r w:rsidR="00505D00" w:rsidRPr="00D847DE">
        <w:t>72</w:t>
      </w:r>
      <w:r w:rsidRPr="00D847DE">
        <w:t xml:space="preserve"> warnings</w:t>
      </w:r>
    </w:p>
    <w:p w:rsidR="00D75171" w:rsidRPr="00D847DE" w:rsidRDefault="00D75171" w:rsidP="00D75171">
      <w:r w:rsidRPr="00D847DE">
        <w:t>- Rule 11.3: A cast should not be performed between a point</w:t>
      </w:r>
      <w:r w:rsidR="00D11DD2" w:rsidRPr="00D847DE">
        <w:t>er type and an integral type - 6</w:t>
      </w:r>
      <w:r w:rsidRPr="00D847DE">
        <w:t xml:space="preserve"> warnings</w:t>
      </w:r>
    </w:p>
    <w:p w:rsidR="00D75171" w:rsidRPr="00D847DE" w:rsidRDefault="00D75171" w:rsidP="001117FE">
      <w:r w:rsidRPr="00D847DE">
        <w:t xml:space="preserve"> Rule 12.1: Limited dependence should be placed on C's operator precedence rules in expressions - </w:t>
      </w:r>
      <w:r w:rsidR="001117FE" w:rsidRPr="00D847DE">
        <w:t>4</w:t>
      </w:r>
      <w:r w:rsidRPr="00D847DE">
        <w:t xml:space="preserve"> warnings</w:t>
      </w:r>
    </w:p>
    <w:p w:rsidR="00D75171" w:rsidRPr="00D847DE" w:rsidRDefault="00D75171" w:rsidP="00D75171">
      <w:r w:rsidRPr="00D847DE">
        <w:t>- Rule 12.5: The operands of a logical &amp;&amp; or || s</w:t>
      </w:r>
      <w:r w:rsidR="00562AAE" w:rsidRPr="00D847DE">
        <w:t xml:space="preserve">hall be primary-expressions - 4 </w:t>
      </w:r>
      <w:r w:rsidRPr="00D847DE">
        <w:t>warnings</w:t>
      </w:r>
    </w:p>
    <w:p w:rsidR="00921238" w:rsidRPr="00D847DE" w:rsidRDefault="00921238" w:rsidP="001117FE">
      <w:r w:rsidRPr="00D847DE">
        <w:t xml:space="preserve">- Rule 12.6: </w:t>
      </w:r>
      <w:r w:rsidRPr="00D847DE">
        <w:t>Expressions that are effectively Boolean should not be used in operations with expressions that are not effectively Boolean</w:t>
      </w:r>
      <w:r w:rsidR="001117FE" w:rsidRPr="00D847DE">
        <w:t xml:space="preserve"> </w:t>
      </w:r>
      <w:r w:rsidR="001117FE" w:rsidRPr="00D847DE">
        <w:t xml:space="preserve">– </w:t>
      </w:r>
      <w:r w:rsidR="001117FE" w:rsidRPr="00D847DE">
        <w:t>4</w:t>
      </w:r>
      <w:r w:rsidR="001117FE" w:rsidRPr="00D847DE">
        <w:t xml:space="preserve"> warnings</w:t>
      </w:r>
    </w:p>
    <w:p w:rsidR="001B753D" w:rsidRPr="00D847DE" w:rsidRDefault="001B753D" w:rsidP="001B753D">
      <w:r w:rsidRPr="00D847DE">
        <w:t xml:space="preserve">- Rule </w:t>
      </w:r>
      <w:r w:rsidRPr="00D847DE">
        <w:t>17.4</w:t>
      </w:r>
      <w:r w:rsidRPr="00D847DE">
        <w:t>:</w:t>
      </w:r>
      <w:r w:rsidRPr="00D847DE">
        <w:t xml:space="preserve"> Array indexing shall be the only allowed form of pointer arithmetic</w:t>
      </w:r>
      <w:r w:rsidR="001117FE" w:rsidRPr="00D847DE">
        <w:t xml:space="preserve"> – 13 warnings</w:t>
      </w:r>
    </w:p>
    <w:p w:rsidR="00D75171" w:rsidRPr="00D75171" w:rsidRDefault="00D75171" w:rsidP="00D75171">
      <w:r>
        <w:br w:type="page"/>
      </w:r>
    </w:p>
    <w:p w:rsidR="00D75171" w:rsidRPr="00D75171" w:rsidRDefault="00D75171" w:rsidP="00D75171">
      <w:pPr>
        <w:pStyle w:val="Heading2"/>
      </w:pPr>
      <w:r>
        <w:lastRenderedPageBreak/>
        <w:t>3. Detailed Warnings</w:t>
      </w:r>
    </w:p>
    <w:p w:rsidR="00D75171" w:rsidRPr="00D75171" w:rsidRDefault="00D75171" w:rsidP="00D75171"/>
    <w:p w:rsidR="00017BDE" w:rsidRDefault="00017BDE" w:rsidP="00017BDE">
      <w:r>
        <w:t>Description</w:t>
      </w:r>
      <w: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5"/>
        <w:gridCol w:w="985"/>
      </w:tblGrid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#1376-D (MISRA-C:2004 1.1/R) Ensure strict ANSI C mode (-</w:t>
            </w:r>
            <w:proofErr w:type="spellStart"/>
            <w:r w:rsidRPr="00017BDE">
              <w:t>ps</w:t>
            </w:r>
            <w:proofErr w:type="spellEnd"/>
            <w:r w:rsidRPr="00017BDE">
              <w:t>) is enabled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10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46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55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56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61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64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67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78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79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84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93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94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106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108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119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124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126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147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157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lastRenderedPageBreak/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163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164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165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170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171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172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174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175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176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179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187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188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193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194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195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197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198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199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210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212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214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217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220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223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242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268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lastRenderedPageBreak/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281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315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338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342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343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379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384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017BDE">
              <w:t>signedness</w:t>
            </w:r>
            <w:proofErr w:type="spellEnd"/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396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#1393-D (MISRA-C:2004 10.1/R) The value of an expression of integer type shall not be implicitly converted to a different underlying type if the expression is complex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119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#1393-D (MISRA-C:2004 10.1/R) The value of an expression of integer type shall not be implicitly converted to a different underlying type if the expression is complex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171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#1393-D (MISRA-C:2004 10.1/R) The value of an expression of integer type shall not be implicitly converted to a different underlying type if the expression is complex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315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#1393-D (MISRA-C:2004 10.1/R) The value of an expression of integer type shall not be implicitly converted to a different underlying type if the expression is complex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368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#1393-D (MISRA-C:2004 10.1/R) The value of an expression of integer type shall not be implicitly converted to a different underlying type if the expression is not constant and is a function argument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20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#1393-D (MISRA-C:2004 10.1/R) The value of an expression of integer type shall not be implicitly converted to a different underlying type if the expression is not constant and is a function argument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#1393-D (MISRA-C:2004 10.1/R) The value of an expression of integer type shall not be implicitly converted to a different underlying type if the expression is not constant and is a function argument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44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#1393-D (MISRA-C:2004 10.1/R) The value of an expression of integer type shall not be implicitly converted to a different underlying type if the expression is not constant and is a function argument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52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#1393-D (MISRA-C:2004 10.1/R) The value of an expression of integer type shall not be implicitly converted to a different underlying type if the expression is not constant and is a function argument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53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#1393-D (MISRA-C:2004 10.1/R) The value of an expression of integer type shall not be implicitly converted to a different underlying type if the expression is not constant and is a function argument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75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#1393-D (MISRA-C:2004 10.1/R) The value of an expression of integer type shall not be implicitly converted to a different underlying type if the expression is not constant and is a function argument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326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#1397-D (MISRA-C:2004 10.5/R) If the bitwise operators ~ and &lt;&lt; are applied to an operand of underlying type unsigned char or unsigned short, the result shall be immediately cast to the underlying type of the operand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#1400-D (MISRA-C:2004 11.3/A) A cast should not be performed between a pointer type and an integral type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lastRenderedPageBreak/>
              <w:t>#1400-D (MISRA-C:2004 11.3/A) A cast should not be performed between a pointer type and an integral type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#1400-D (MISRA-C:2004 11.3/A) A cast should not be performed between a pointer type and an integral type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#1400-D (MISRA-C:2004 11.3/A) A cast should not be performed between a pointer type and an integral type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#1400-D (MISRA-C:2004 11.3/A) A cast should not be performed between a pointer type and an integral type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#1400-D (MISRA-C:2004 11.3/A) A cast should not be performed between a pointer type and an integral type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94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#1405-D (MISRA-C:2004 12.5/R) The operands of a logical &amp;&amp; or || shall be primary-expressions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58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#1405-D (MISRA-C:2004 12.5/R) The operands of a logical &amp;&amp; or || shall be primary-expressions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64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#1405-D (MISRA-C:2004 12.5/R) The operands of a logical &amp;&amp; or || shall be primary-expressions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108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#1405-D (MISRA-C:2004 12.5/R) The operands of a logical &amp;&amp; or || shall be primary-expressions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#1406-D (MISRA-C:2004 12.7/R) Bitwise operators shall not be applied to operands whose underlying type is signed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#1406-D (MISRA-C:2004 12.7/R) Bitwise operators shall not be applied to operands whose underlying type is signed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#1406-D (MISRA-C:2004 12.7/R) Bitwise operators shall not be applied to operands whose underlying type is signed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#1406-D (MISRA-C:2004 12.7/R) Bitwise operators shall not be applied to operands whose underlying type is signed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#1406-D (MISRA-C:2004 12.7/R) Bitwise operators shall not be applied to operands whose underlying type is signed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94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#1411-D (MISRA-C:2004 13.3/R) Floating-point expressions shall not be tested for equality or inequality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210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#1412-D (MISRA-C:2004 13.4/R) The controlling expression of a for statement shall not contain any objects of floating type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210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#1428-D (MISRA-C:2004 19.7/A) A function should be used in preference to a function-like macro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#1428-D (MISRA-C:2004 19.7/A) A function should be used in preference to a function-like macro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22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#1428-D (MISRA-C:2004 19.7/A) A function should be used in preference to a function-like macro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#1428-D (MISRA-C:2004 19.7/A) A function should be used in preference to a function-like macro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#1428-D (MISRA-C:2004 19.7/A) A function should be used in preference to a function-like macro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41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#1459-D (MISRA-C:2004 12.1/A) Limited dependence should be placed on C's operator precedence rules in expressions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64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#1459-D (MISRA-C:2004 12.1/A) Limited dependence should be placed on C's operator precedence rules in expressions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108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#1459-D (MISRA-C:2004 12.1/A) Limited dependence should be placed on C's operator precedence rules in expressions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119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#1459-D (MISRA-C:2004 12.1/A) Limited dependence should be placed on C's operator precedence rules in expressions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#1464-D (MISRA-C:2004 10.6/R) A "U" suffix shall be applied to all constants of unsigned type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266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281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340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341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362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lastRenderedPageBreak/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373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#1476-D (MISRA-C:2004 17.4/R) Array indexing shall be the only allowed form of pointer arithmetic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387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#1483-D (MISRA-C</w:t>
            </w:r>
            <w:proofErr w:type="gramStart"/>
            <w:r w:rsidRPr="00017BDE">
              <w:t>:2004</w:t>
            </w:r>
            <w:proofErr w:type="gramEnd"/>
            <w:r w:rsidRPr="00017BDE">
              <w:t xml:space="preserve"> 12.6/A) Expressions that are effectively Boolean should not be used as operands to operators other than (&amp;&amp;, ||, !, =, ==, != and ?:)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368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#1483-D (MISRA-C:2004 12.6/A) Expressions that are effectively Boolean should not be used in operations with expressions that are not effectively Boolean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61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#1483-D (MISRA-C:2004 12.6/A) Expressions that are effectively Boolean should not be used in operations with expressions that are not effectively Boolean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124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#1483-D (MISRA-C:2004 12.6/A) Expressions that are effectively Boolean should not be used in operations with expressions that are not effectively Boolean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317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55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58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62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64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67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78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84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108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119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268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281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#1484-D (MISRA-C:2004 6.1/R) The plain char type shall be used only for the storage and use of character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315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61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126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163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164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170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174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lastRenderedPageBreak/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187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188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193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197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214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217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220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223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242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#1485-D (MISRA-C:2004 6.2/R) signed and unsigned char type shall be used only for the storage and use of numeric values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#1497-D (MISRA-C:2004 5.7/A) No identifier name should be reused ("c")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153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#1497-D (MISRA-C:2004 5.7/A) No identifier name should be reused ("</w:t>
            </w:r>
            <w:proofErr w:type="spellStart"/>
            <w:r w:rsidRPr="00017BDE">
              <w:t>i</w:t>
            </w:r>
            <w:proofErr w:type="spellEnd"/>
            <w:r w:rsidRPr="00017BDE">
              <w:t>")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235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#1497-D (MISRA-C:2004 5.7/A) No identifier name should be reused ("</w:t>
            </w:r>
            <w:proofErr w:type="spellStart"/>
            <w:r w:rsidRPr="00017BDE">
              <w:t>i</w:t>
            </w:r>
            <w:proofErr w:type="spellEnd"/>
            <w:r w:rsidRPr="00017BDE">
              <w:t>")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261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#1497-D (MISRA-C:2004 5.7/A) No identifier name should be reused ("</w:t>
            </w:r>
            <w:proofErr w:type="spellStart"/>
            <w:r w:rsidRPr="00017BDE">
              <w:t>i</w:t>
            </w:r>
            <w:proofErr w:type="spellEnd"/>
            <w:r w:rsidRPr="00017BDE">
              <w:t>")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291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#1497-D (MISRA-C:2004 5.7/A) No identifier name should be reused ("</w:t>
            </w:r>
            <w:proofErr w:type="spellStart"/>
            <w:r w:rsidRPr="00017BDE">
              <w:t>i</w:t>
            </w:r>
            <w:proofErr w:type="spellEnd"/>
            <w:r w:rsidRPr="00017BDE">
              <w:t>")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310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#1497-D (MISRA-C:2004 5.7/A) No identifier name should be reused ("</w:t>
            </w:r>
            <w:proofErr w:type="spellStart"/>
            <w:r w:rsidRPr="00017BDE">
              <w:t>i</w:t>
            </w:r>
            <w:proofErr w:type="spellEnd"/>
            <w:r w:rsidRPr="00017BDE">
              <w:t>")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357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#1497-D (MISRA-C:2004 5.7/A) No identifier name should be reused ("</w:t>
            </w:r>
            <w:proofErr w:type="spellStart"/>
            <w:r w:rsidRPr="00017BDE">
              <w:t>i</w:t>
            </w:r>
            <w:proofErr w:type="spellEnd"/>
            <w:r w:rsidRPr="00017BDE">
              <w:t>")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393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#1497-D (MISRA-C:2004 5.7/A) No identifier name should be reused ("j")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393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#1497-D (MISRA-C:2004 5.7/A) No identifier name should be reused ("res")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69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>#1497-D (MISRA-C:2004 5.7/A) No identifier name should be reused ("x")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377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#1498-D (MISRA-C:2004 6.3/A) </w:t>
            </w:r>
            <w:proofErr w:type="spellStart"/>
            <w:r w:rsidRPr="00017BDE">
              <w:t>typedefs</w:t>
            </w:r>
            <w:proofErr w:type="spellEnd"/>
            <w:r w:rsidRPr="00017BDE">
              <w:t xml:space="preserve"> that indicate size and </w:t>
            </w:r>
            <w:proofErr w:type="spellStart"/>
            <w:r w:rsidRPr="00017BDE">
              <w:t>signedness</w:t>
            </w:r>
            <w:proofErr w:type="spellEnd"/>
            <w:r w:rsidRPr="00017BDE">
              <w:t xml:space="preserve"> should be used in place of the basic numerical types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24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#1498-D (MISRA-C:2004 6.3/A) </w:t>
            </w:r>
            <w:proofErr w:type="spellStart"/>
            <w:r w:rsidRPr="00017BDE">
              <w:t>typedefs</w:t>
            </w:r>
            <w:proofErr w:type="spellEnd"/>
            <w:r w:rsidRPr="00017BDE">
              <w:t xml:space="preserve"> that indicate size and </w:t>
            </w:r>
            <w:proofErr w:type="spellStart"/>
            <w:r w:rsidRPr="00017BDE">
              <w:t>signedness</w:t>
            </w:r>
            <w:proofErr w:type="spellEnd"/>
            <w:r w:rsidRPr="00017BDE">
              <w:t xml:space="preserve"> should be used in place of the basic numerical types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25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#1498-D (MISRA-C:2004 6.3/A) </w:t>
            </w:r>
            <w:proofErr w:type="spellStart"/>
            <w:r w:rsidRPr="00017BDE">
              <w:t>typedefs</w:t>
            </w:r>
            <w:proofErr w:type="spellEnd"/>
            <w:r w:rsidRPr="00017BDE">
              <w:t xml:space="preserve"> that indicate size and </w:t>
            </w:r>
            <w:proofErr w:type="spellStart"/>
            <w:r w:rsidRPr="00017BDE">
              <w:t>signedness</w:t>
            </w:r>
            <w:proofErr w:type="spellEnd"/>
            <w:r w:rsidRPr="00017BDE">
              <w:t xml:space="preserve"> should be used in place of the basic numerical types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26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#1498-D (MISRA-C:2004 6.3/A) </w:t>
            </w:r>
            <w:proofErr w:type="spellStart"/>
            <w:r w:rsidRPr="00017BDE">
              <w:t>typedefs</w:t>
            </w:r>
            <w:proofErr w:type="spellEnd"/>
            <w:r w:rsidRPr="00017BDE">
              <w:t xml:space="preserve"> that indicate size and </w:t>
            </w:r>
            <w:proofErr w:type="spellStart"/>
            <w:r w:rsidRPr="00017BDE">
              <w:t>signedness</w:t>
            </w:r>
            <w:proofErr w:type="spellEnd"/>
            <w:r w:rsidRPr="00017BDE">
              <w:t xml:space="preserve"> should be used in place of the basic numerical types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27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#1498-D (MISRA-C:2004 6.3/A) </w:t>
            </w:r>
            <w:proofErr w:type="spellStart"/>
            <w:r w:rsidRPr="00017BDE">
              <w:t>typedefs</w:t>
            </w:r>
            <w:proofErr w:type="spellEnd"/>
            <w:r w:rsidRPr="00017BDE">
              <w:t xml:space="preserve"> that indicate size and </w:t>
            </w:r>
            <w:proofErr w:type="spellStart"/>
            <w:r w:rsidRPr="00017BDE">
              <w:t>signedness</w:t>
            </w:r>
            <w:proofErr w:type="spellEnd"/>
            <w:r w:rsidRPr="00017BDE">
              <w:t xml:space="preserve"> should be used in place of the basic numerical types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29</w:t>
            </w:r>
          </w:p>
        </w:tc>
      </w:tr>
      <w:tr w:rsidR="00017BDE" w:rsidRPr="00017BDE" w:rsidTr="00017BDE">
        <w:tc>
          <w:tcPr>
            <w:tcW w:w="9805" w:type="dxa"/>
          </w:tcPr>
          <w:p w:rsidR="00017BDE" w:rsidRPr="00017BDE" w:rsidRDefault="00017BDE" w:rsidP="00DF19B3">
            <w:r w:rsidRPr="00017BDE">
              <w:t xml:space="preserve">#1498-D (MISRA-C:2004 6.3/A) </w:t>
            </w:r>
            <w:proofErr w:type="spellStart"/>
            <w:r w:rsidRPr="00017BDE">
              <w:t>typedefs</w:t>
            </w:r>
            <w:proofErr w:type="spellEnd"/>
            <w:r w:rsidRPr="00017BDE">
              <w:t xml:space="preserve"> that indicate size and </w:t>
            </w:r>
            <w:proofErr w:type="spellStart"/>
            <w:r w:rsidRPr="00017BDE">
              <w:t>signedness</w:t>
            </w:r>
            <w:proofErr w:type="spellEnd"/>
            <w:r w:rsidRPr="00017BDE">
              <w:t xml:space="preserve"> should be used in place of the basic numerical types</w:t>
            </w:r>
          </w:p>
        </w:tc>
        <w:tc>
          <w:tcPr>
            <w:tcW w:w="985" w:type="dxa"/>
          </w:tcPr>
          <w:p w:rsidR="00017BDE" w:rsidRPr="00017BDE" w:rsidRDefault="00017BDE" w:rsidP="00DF19B3">
            <w:r w:rsidRPr="00017BDE">
              <w:t>line 94</w:t>
            </w:r>
          </w:p>
        </w:tc>
      </w:tr>
    </w:tbl>
    <w:p w:rsidR="000072EF" w:rsidRDefault="000072EF" w:rsidP="00D75171"/>
    <w:p w:rsidR="00D75171" w:rsidRPr="00D75171" w:rsidRDefault="00D75171" w:rsidP="000072EF">
      <w:r w:rsidRPr="00D75171">
        <w:t xml:space="preserve">This report provides an overview of the MISRA-C warnings encountered in the </w:t>
      </w:r>
      <w:r w:rsidR="000072EF">
        <w:t>Calculator</w:t>
      </w:r>
      <w:r w:rsidRPr="00D75171">
        <w:t xml:space="preserve"> project. It categorizes the warnings based on specific MISRA-C rules and provides insights into addressing these warnings to ensure compliance with the MISRA-C coding standards.</w:t>
      </w:r>
    </w:p>
    <w:p w:rsidR="00D75171" w:rsidRPr="00D75171" w:rsidRDefault="00D75171" w:rsidP="00D75171"/>
    <w:p w:rsidR="000F5540" w:rsidRDefault="00D75171" w:rsidP="008A383D">
      <w:r w:rsidRPr="00D75171">
        <w:t>For more detailed information about each warning and its suggested solution, please refer to the "Detailed Warnings" section of this report.</w:t>
      </w:r>
      <w:bookmarkStart w:id="0" w:name="_GoBack"/>
      <w:bookmarkEnd w:id="0"/>
    </w:p>
    <w:sectPr w:rsidR="000F5540" w:rsidSect="00D75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71"/>
    <w:rsid w:val="000072EF"/>
    <w:rsid w:val="00017BDE"/>
    <w:rsid w:val="000F5540"/>
    <w:rsid w:val="001117FE"/>
    <w:rsid w:val="001B753D"/>
    <w:rsid w:val="003959BD"/>
    <w:rsid w:val="00457975"/>
    <w:rsid w:val="00505D00"/>
    <w:rsid w:val="00513A03"/>
    <w:rsid w:val="00562AAE"/>
    <w:rsid w:val="00832C0B"/>
    <w:rsid w:val="008A383D"/>
    <w:rsid w:val="009022D7"/>
    <w:rsid w:val="00921238"/>
    <w:rsid w:val="009F5B73"/>
    <w:rsid w:val="00AB4655"/>
    <w:rsid w:val="00BF1A09"/>
    <w:rsid w:val="00D11DD2"/>
    <w:rsid w:val="00D75171"/>
    <w:rsid w:val="00D847DE"/>
    <w:rsid w:val="00F1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4E3A"/>
  <w15:chartTrackingRefBased/>
  <w15:docId w15:val="{69A4E4DF-3A21-4D25-971D-41952B64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1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5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3A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4292</Words>
  <Characters>24471</Characters>
  <Application>Microsoft Office Word</Application>
  <DocSecurity>0</DocSecurity>
  <Lines>203</Lines>
  <Paragraphs>57</Paragraphs>
  <ScaleCrop>false</ScaleCrop>
  <Company/>
  <LinksUpToDate>false</LinksUpToDate>
  <CharactersWithSpaces>28706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roshdy</dc:creator>
  <cp:keywords/>
  <dc:description/>
  <cp:lastModifiedBy>ehab roshdy</cp:lastModifiedBy>
  <cp:revision>20</cp:revision>
  <dcterms:created xsi:type="dcterms:W3CDTF">2023-08-28T19:24:00Z</dcterms:created>
  <dcterms:modified xsi:type="dcterms:W3CDTF">2023-08-28T22:16:00Z</dcterms:modified>
</cp:coreProperties>
</file>