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1E7D6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E7D67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E7D67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E7D67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E7D67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3F2E32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12/4/2010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1E7D67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1E7D67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1E7D67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1E7D67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1E7D67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 w:rsidR="00163995"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 w:rsidR="00163995">
          <w:rPr>
            <w:webHidden/>
          </w:rPr>
        </w:r>
        <w:r w:rsidR="00163995">
          <w:rPr>
            <w:webHidden/>
          </w:rPr>
          <w:fldChar w:fldCharType="separate"/>
        </w:r>
        <w:r w:rsidR="00163995">
          <w:rPr>
            <w:webHidden/>
          </w:rPr>
          <w:t>3</w:t>
        </w:r>
        <w:r w:rsidR="00163995">
          <w:rPr>
            <w:webHidden/>
          </w:rPr>
          <w:fldChar w:fldCharType="end"/>
        </w:r>
      </w:hyperlink>
    </w:p>
    <w:p w:rsidR="00163995" w:rsidRDefault="0016399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Pr="00571F71">
          <w:rPr>
            <w:rStyle w:val="Hyperlink"/>
          </w:rPr>
          <w:t>Part 2: Using Syncsharp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Pr="00571F7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 xml:space="preserve"> On First Run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Pr="00571F7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Creating New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Pr="00571F71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Delete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Pr="00571F71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Task Management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Pr="00571F71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Modify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Pr="00571F71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View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Pr="00571F71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Import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Pr="00571F71">
          <w:rPr>
            <w:rStyle w:val="Hyperlink"/>
          </w:rPr>
          <w:t>2.8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Export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Pr="00571F71">
          <w:rPr>
            <w:rStyle w:val="Hyperlink"/>
          </w:rPr>
          <w:t>2.9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Analyze 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Pr="00571F71">
          <w:rPr>
            <w:rStyle w:val="Hyperlink"/>
          </w:rPr>
          <w:t>2.10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PlugSync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Pr="00571F71">
          <w:rPr>
            <w:rStyle w:val="Hyperlink"/>
          </w:rPr>
          <w:t>2.11</w:t>
        </w:r>
        <w:r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Pr="00571F71">
          <w:rPr>
            <w:rStyle w:val="Hyperlink"/>
          </w:rPr>
          <w:t>Configuring Global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Pr="00571F71">
          <w:rPr>
            <w:rStyle w:val="Hyperlink"/>
          </w:rPr>
          <w:t>Part 3 Troubleshooting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Pr="00571F71">
          <w:rPr>
            <w:rStyle w:val="Hyperlink"/>
          </w:rPr>
          <w:t>3.1 Auto-Play feature Is Not Working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16399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Pr="00571F71">
          <w:rPr>
            <w:rStyle w:val="Hyperlink"/>
          </w:rPr>
          <w:t>Part 4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1E7D67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1E7D67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1E7D67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1E7D67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1E7D67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1E7D67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1E7D67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1E7D67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B0677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1E7D67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1E7D67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3246" cy="203246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0" t="0" r="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635073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1E7D67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1E7D67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1E7D67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1E7D67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1E7D67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FE4C49" w:rsidRDefault="00FE4C49" w:rsidP="003B1ABF">
      <w:pPr>
        <w:jc w:val="both"/>
        <w:rPr>
          <w:rFonts w:ascii="Cambria" w:eastAsia="Calibri" w:hAnsi="Cambria" w:cs="Times New Roman"/>
          <w:i/>
          <w:sz w:val="24"/>
          <w:szCs w:val="24"/>
          <w:u w:val="single"/>
        </w:rPr>
      </w:pP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1E7D67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1E7D67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1E7D67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1E7D67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D35" w:rsidRDefault="00413D35" w:rsidP="00B42A57">
      <w:pPr>
        <w:spacing w:after="0" w:line="240" w:lineRule="auto"/>
      </w:pPr>
      <w:r>
        <w:separator/>
      </w:r>
    </w:p>
  </w:endnote>
  <w:endnote w:type="continuationSeparator" w:id="0">
    <w:p w:rsidR="00413D35" w:rsidRDefault="00413D35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1E7D67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163995" w:rsidRPr="00163995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D35" w:rsidRDefault="00413D35" w:rsidP="00B42A57">
      <w:pPr>
        <w:spacing w:after="0" w:line="240" w:lineRule="auto"/>
      </w:pPr>
      <w:r>
        <w:separator/>
      </w:r>
    </w:p>
  </w:footnote>
  <w:footnote w:type="continuationSeparator" w:id="0">
    <w:p w:rsidR="00413D35" w:rsidRDefault="00413D35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995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E7D67"/>
    <w:rsid w:val="001F64D0"/>
    <w:rsid w:val="001F778C"/>
    <w:rsid w:val="00211141"/>
    <w:rsid w:val="002157D4"/>
    <w:rsid w:val="00220574"/>
    <w:rsid w:val="00227D70"/>
    <w:rsid w:val="00243C2D"/>
    <w:rsid w:val="00247055"/>
    <w:rsid w:val="00253061"/>
    <w:rsid w:val="002600F7"/>
    <w:rsid w:val="002778AD"/>
    <w:rsid w:val="002812C5"/>
    <w:rsid w:val="002924AA"/>
    <w:rsid w:val="00295D66"/>
    <w:rsid w:val="002A19CB"/>
    <w:rsid w:val="002A219D"/>
    <w:rsid w:val="002B0CE2"/>
    <w:rsid w:val="002B7056"/>
    <w:rsid w:val="002C0671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A428B-D047-433E-93B9-4C783D91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23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44</cp:revision>
  <dcterms:created xsi:type="dcterms:W3CDTF">2010-03-31T20:45:00Z</dcterms:created>
  <dcterms:modified xsi:type="dcterms:W3CDTF">2010-04-12T19:38:00Z</dcterms:modified>
</cp:coreProperties>
</file>