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1417"/>
        <w:ind w:hanging="0" w:start="0" w:end="0"/>
        <w:jc w:val="start"/>
        <w:rPr>
          <w:b/>
          <w:spacing w:val="60"/>
          <w:sz w:val="60"/>
        </w:rPr>
      </w:pPr>
      <w:r>
        <w:rPr>
          <w:b/>
          <w:spacing w:val="60"/>
          <w:sz w:val="60"/>
        </w:rPr>
        <w:t>GENTIA</w:t>
      </w:r>
    </w:p>
    <w:p>
      <w:pPr>
        <w:pStyle w:val="BodyText"/>
        <w:bidi w:val="0"/>
        <w:jc w:val="start"/>
        <w:rPr/>
      </w:pPr>
      <w:r>
        <w:rPr/>
        <w:t>MANUAL DE CAPACITACIÓN · CAP-05</w:t>
      </w:r>
    </w:p>
    <w:p>
      <w:pPr>
        <w:pStyle w:val="Heading1"/>
        <w:bidi w:val="0"/>
        <w:jc w:val="start"/>
        <w:rPr/>
      </w:pPr>
      <w:r>
        <w:rPr/>
        <w:t>Carga y conciliación de saldos iniciales</w:t>
      </w:r>
    </w:p>
    <w:p>
      <w:pPr>
        <w:pStyle w:val="BodyText"/>
        <w:bidi w:val="0"/>
        <w:jc w:val="start"/>
        <w:rPr/>
      </w:pPr>
      <w:r>
        <w:rPr/>
        <w:t>Guía operativa paso a paso para ejecutar el proceso de forma controlada y auditable en GENTIA ERP.</w:t>
      </w:r>
    </w:p>
    <w:tbl>
      <w:tblPr>
        <w:tblW w:w="475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99"/>
        <w:gridCol w:w="3451"/>
      </w:tblGrid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Audiencia</w:t>
            </w:r>
          </w:p>
        </w:tc>
        <w:tc>
          <w:tcPr>
            <w:tcW w:w="345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Equipo de migración y Contabilidad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Versión</w:t>
            </w:r>
          </w:p>
        </w:tc>
        <w:tc>
          <w:tcPr>
            <w:tcW w:w="345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1.0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Fecha</w:t>
            </w:r>
          </w:p>
        </w:tc>
        <w:tc>
          <w:tcPr>
            <w:tcW w:w="345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28 de octubre de 2026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Ambiente</w:t>
            </w:r>
          </w:p>
        </w:tc>
        <w:tc>
          <w:tcPr>
            <w:tcW w:w="345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Capacitación / Pruebas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Clasificación</w:t>
            </w:r>
          </w:p>
        </w:tc>
        <w:tc>
          <w:tcPr>
            <w:tcW w:w="345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Uso interno</w:t>
            </w:r>
          </w:p>
        </w:tc>
      </w:tr>
    </w:tbl>
    <w:p>
      <w:pPr>
        <w:pStyle w:val="Cuerpodetextoconfidential"/>
        <w:bidi w:val="0"/>
        <w:jc w:val="start"/>
        <w:rPr/>
      </w:pPr>
      <w:r>
        <w:rPr/>
        <w:t>Las imágenes utilizan datos ficticios de capacitación. No contienen credenciales ni información productiva.</w:t>
      </w:r>
      <w:r>
        <w:br w:type="page"/>
      </w:r>
    </w:p>
    <w:p>
      <w:pPr>
        <w:pStyle w:val="BodyText"/>
        <w:bidi w:val="0"/>
        <w:spacing w:lineRule="atLeast" w:line="142"/>
        <w:ind w:hanging="0" w:start="0" w:end="0"/>
        <w:jc w:val="start"/>
        <w:rPr/>
      </w:pPr>
      <w:r>
        <w:rPr/>
        <w:t> </w:t>
      </w:r>
    </w:p>
    <w:p>
      <w:pPr>
        <w:pStyle w:val="Heading1"/>
        <w:bidi w:val="0"/>
        <w:jc w:val="start"/>
        <w:rPr/>
      </w:pPr>
      <w:r>
        <w:rPr/>
        <w:t>CAP-05 · Manual de Carga y conciliación de saldos iniciales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Contenido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Objetivo y alcance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Prerrequisitos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Ruta de acceso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Flujo general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Procedimiento paso a paso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Controles clave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Errores frecuentes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Ejercicio práctico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Checklist de validación</w:t>
      </w:r>
    </w:p>
    <w:p>
      <w:pPr>
        <w:pStyle w:val="Heading2"/>
        <w:bidi w:val="0"/>
        <w:jc w:val="start"/>
        <w:rPr/>
      </w:pPr>
      <w:r>
        <w:rPr/>
        <w:t>1. Objetivo y alcance</w:t>
      </w:r>
    </w:p>
    <w:tbl>
      <w:tblPr>
        <w:tblW w:w="1345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43"/>
        <w:gridCol w:w="12416"/>
      </w:tblGrid>
      <w:tr>
        <w:trPr/>
        <w:tc>
          <w:tcPr>
            <w:tcW w:w="10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Objetivo</w:t>
            </w:r>
          </w:p>
        </w:tc>
        <w:tc>
          <w:tcPr>
            <w:tcW w:w="1241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Preparar, validar y contabilizar la apertura con sus auxiliares sin duplicar cuentas de control y conservando moneda y tasa histórica.</w:t>
            </w:r>
          </w:p>
        </w:tc>
      </w:tr>
      <w:tr>
        <w:trPr/>
        <w:tc>
          <w:tcPr>
            <w:tcW w:w="10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Audiencia</w:t>
            </w:r>
          </w:p>
        </w:tc>
        <w:tc>
          <w:tcPr>
            <w:tcW w:w="1241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Equipo de migración y Contabilidad</w:t>
            </w:r>
          </w:p>
        </w:tc>
      </w:tr>
      <w:tr>
        <w:trPr/>
        <w:tc>
          <w:tcPr>
            <w:tcW w:w="10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Alcance</w:t>
            </w:r>
          </w:p>
        </w:tc>
        <w:tc>
          <w:tcPr>
            <w:tcW w:w="1241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Configuración, operación, controles, excepciones, evidencia y validación del tema Carga y conciliación de saldos iniciales.</w:t>
            </w:r>
          </w:p>
        </w:tc>
      </w:tr>
    </w:tbl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Regla de seguridad:</w:t>
      </w:r>
      <w:r>
        <w:rPr/>
        <w:t xml:space="preserve"> confirme siempre la empresa activa, el rol activo y el período antes de guardar una operación. Nunca comparta contraseñas, enlaces de recuperación ni secretos técnicos.</w:t>
      </w:r>
    </w:p>
    <w:p>
      <w:pPr>
        <w:pStyle w:val="Heading2"/>
        <w:bidi w:val="0"/>
        <w:jc w:val="start"/>
        <w:rPr/>
      </w:pPr>
      <w:r>
        <w:rPr/>
        <w:t>2. Prerrequisitos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Maestros aprobados.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Fecha de apertura y cuenta transitoria definidas.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Plantillas extraídas del sistema fuente.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Usuarios con permiso y respaldo del corte.</w:t>
      </w:r>
    </w:p>
    <w:p>
      <w:pPr>
        <w:pStyle w:val="Heading2"/>
        <w:bidi w:val="0"/>
        <w:jc w:val="start"/>
        <w:rPr/>
      </w:pPr>
      <w:r>
        <w:rPr/>
        <w:t>3. Ruta de acceso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Textooriginal"/>
        </w:rPr>
        <w:t>/opening-balances.html</w:t>
      </w:r>
    </w:p>
    <w:p>
      <w:pPr>
        <w:pStyle w:val="Heading2"/>
        <w:bidi w:val="0"/>
        <w:jc w:val="start"/>
        <w:rPr/>
      </w:pPr>
      <w:r>
        <w:rPr/>
        <w:t>4. Flujo general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Parámetros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Plantillas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Carga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Validación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Conciliación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Contabilización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Verificación</w:t>
      </w:r>
    </w:p>
    <w:p>
      <w:pPr>
        <w:pStyle w:val="Ttulo2page-break"/>
        <w:bidi w:val="0"/>
        <w:jc w:val="start"/>
        <w:rPr/>
      </w:pPr>
      <w:r>
        <w:rPr/>
        <w:t>5. Procedimiento paso a paso</w:t>
      </w:r>
    </w:p>
    <w:p>
      <w:pPr>
        <w:pStyle w:val="BodyText"/>
        <w:bidi w:val="0"/>
        <w:ind w:hanging="0" w:start="0" w:end="0"/>
        <w:jc w:val="start"/>
        <w:rPr/>
      </w:pPr>
      <w:r>
        <w:rPr/>
        <w:t>1</w:t>
      </w:r>
    </w:p>
    <w:p>
      <w:pPr>
        <w:pStyle w:val="Heading3"/>
        <w:bidi w:val="0"/>
        <w:ind w:hanging="0" w:start="0" w:end="0"/>
        <w:jc w:val="start"/>
        <w:rPr/>
      </w:pPr>
      <w:r>
        <w:rPr/>
        <w:t>Definir parámetros</w:t>
      </w:r>
    </w:p>
    <w:p>
      <w:pPr>
        <w:pStyle w:val="BodyText"/>
        <w:bidi w:val="0"/>
        <w:jc w:val="start"/>
        <w:rPr/>
      </w:pPr>
      <w:r>
        <w:rPr/>
        <w:t>Seleccione filial, fecha de apertura, tipo de carga y cuenta transitoria.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Moneda funcional y período corresponden al corte.</w:t>
      </w:r>
    </w:p>
    <w:p>
      <w:pPr>
        <w:pStyle w:val="BodyText"/>
        <w:bidi w:val="0"/>
        <w:ind w:hanging="0" w:start="0" w:end="0"/>
        <w:jc w:val="start"/>
        <w:rPr/>
      </w:pPr>
      <w:r>
        <w:rPr/>
        <w:t>2</w:t>
      </w:r>
    </w:p>
    <w:p>
      <w:pPr>
        <w:pStyle w:val="Heading3"/>
        <w:bidi w:val="0"/>
        <w:ind w:hanging="0" w:start="0" w:end="0"/>
        <w:jc w:val="start"/>
        <w:rPr/>
      </w:pPr>
      <w:r>
        <w:rPr/>
        <w:t>Descargar plantillas</w:t>
      </w:r>
    </w:p>
    <w:p>
      <w:pPr>
        <w:pStyle w:val="BodyText"/>
        <w:bidi w:val="0"/>
        <w:jc w:val="start"/>
        <w:rPr/>
      </w:pPr>
      <w:r>
        <w:rPr/>
        <w:t>Descargue CSV o Excel desde cada tarjeta; no reutilice versiones antiguas sin comparar encabezados.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Se usan las seis plantillas vigentes.</w:t>
      </w:r>
    </w:p>
    <w:p>
      <w:pPr>
        <w:pStyle w:val="BodyText"/>
        <w:bidi w:val="0"/>
        <w:ind w:hanging="0" w:start="0" w:end="0"/>
        <w:jc w:val="start"/>
        <w:rPr/>
      </w:pPr>
      <w:r>
        <w:rPr/>
        <w:t>3</w:t>
      </w:r>
    </w:p>
    <w:p>
      <w:pPr>
        <w:pStyle w:val="Heading3"/>
        <w:bidi w:val="0"/>
        <w:ind w:hanging="0" w:start="0" w:end="0"/>
        <w:jc w:val="start"/>
        <w:rPr/>
      </w:pPr>
      <w:r>
        <w:rPr/>
        <w:t>Preparar Libro Mayor</w:t>
      </w:r>
    </w:p>
    <w:p>
      <w:pPr>
        <w:pStyle w:val="BodyText"/>
        <w:bidi w:val="0"/>
        <w:jc w:val="start"/>
        <w:rPr/>
      </w:pPr>
      <w:r>
        <w:rPr/>
        <w:t>Complete cuenta, débitos/créditos locales, moneda e importes originales, tasa implícita, dimensiones y banco/cuenta bancaria cuando aplique.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Cada fila tiene solo débito o crédito y no hay encabezados vacíos.</w:t>
      </w:r>
    </w:p>
    <w:p>
      <w:pPr>
        <w:pStyle w:val="BodyText"/>
        <w:bidi w:val="0"/>
        <w:ind w:hanging="0" w:start="0" w:end="0"/>
        <w:jc w:val="start"/>
        <w:rPr/>
      </w:pPr>
      <w:r>
        <w:rPr/>
        <w:t>4</w:t>
      </w:r>
    </w:p>
    <w:p>
      <w:pPr>
        <w:pStyle w:val="Heading3"/>
        <w:bidi w:val="0"/>
        <w:ind w:hanging="0" w:start="0" w:end="0"/>
        <w:jc w:val="start"/>
        <w:rPr/>
      </w:pPr>
      <w:r>
        <w:rPr/>
        <w:t>Preparar CxC y CxP</w:t>
      </w:r>
    </w:p>
    <w:p>
      <w:pPr>
        <w:pStyle w:val="BodyText"/>
        <w:bidi w:val="0"/>
        <w:jc w:val="start"/>
        <w:rPr/>
      </w:pPr>
      <w:r>
        <w:rPr/>
        <w:t>Cargue documentos abiertos por identificación fiscal, número, fecha, vencimiento, moneda, tasa y saldo.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tercero existe en la filial y la suma concilia con la cuenta de control.</w:t>
      </w:r>
    </w:p>
    <w:p>
      <w:pPr>
        <w:pStyle w:val="BodyText"/>
        <w:bidi w:val="0"/>
        <w:ind w:hanging="0" w:start="0" w:end="0"/>
        <w:jc w:val="start"/>
        <w:rPr/>
      </w:pPr>
      <w:r>
        <w:rPr/>
        <w:t>5</w:t>
      </w:r>
    </w:p>
    <w:p>
      <w:pPr>
        <w:pStyle w:val="Heading3"/>
        <w:bidi w:val="0"/>
        <w:ind w:hanging="0" w:start="0" w:end="0"/>
        <w:jc w:val="start"/>
        <w:rPr/>
      </w:pPr>
      <w:r>
        <w:rPr/>
        <w:t>Preparar Activos Fijos</w:t>
      </w:r>
    </w:p>
    <w:p>
      <w:pPr>
        <w:pStyle w:val="BodyText"/>
        <w:bidi w:val="0"/>
        <w:jc w:val="start"/>
        <w:rPr/>
      </w:pPr>
      <w:r>
        <w:rPr/>
        <w:t>Registre categoría, ficha, fecha en servicio, costo, depreciación acumulada, vida útil, moneda y dimensiones.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Costo y depreciación concilian con el Mayor.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15240000" cy="9525000"/>
            <wp:effectExtent l="0" t="0" r="0" b="0"/>
            <wp:docPr id="1" name="Imagen1" descr="" title="Captura 1: Carga y validación de saldos inici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 title="Captura 1: Carga y validación de saldos iniciales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952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Figura 1. Carga y validación de saldos iniciales</w:t>
      </w:r>
    </w:p>
    <w:p>
      <w:pPr>
        <w:pStyle w:val="BodyText"/>
        <w:bidi w:val="0"/>
        <w:ind w:hanging="0" w:start="0" w:end="0"/>
        <w:jc w:val="start"/>
        <w:rPr/>
      </w:pPr>
      <w:r>
        <w:rPr/>
        <w:t>6</w:t>
      </w:r>
    </w:p>
    <w:p>
      <w:pPr>
        <w:pStyle w:val="Heading3"/>
        <w:bidi w:val="0"/>
        <w:ind w:hanging="0" w:start="0" w:end="0"/>
        <w:jc w:val="start"/>
        <w:rPr/>
      </w:pPr>
      <w:r>
        <w:rPr/>
        <w:t>Preparar Pendientes de Facturar</w:t>
      </w:r>
    </w:p>
    <w:p>
      <w:pPr>
        <w:pStyle w:val="BodyText"/>
        <w:bidi w:val="0"/>
        <w:jc w:val="start"/>
        <w:rPr/>
      </w:pPr>
      <w:r>
        <w:rPr/>
        <w:t>Clasifique ACTUAL 113003/413001 o ANTERIOR 113004/413002, con dos líneas por referencia y tasa histórica.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Cada referencia conserva pareja contable y saldo vivo.</w:t>
      </w:r>
    </w:p>
    <w:p>
      <w:pPr>
        <w:pStyle w:val="BodyText"/>
        <w:bidi w:val="0"/>
        <w:ind w:hanging="0" w:start="0" w:end="0"/>
        <w:jc w:val="start"/>
        <w:rPr/>
      </w:pPr>
      <w:r>
        <w:rPr/>
        <w:t>7</w:t>
      </w:r>
    </w:p>
    <w:p>
      <w:pPr>
        <w:pStyle w:val="Heading3"/>
        <w:bidi w:val="0"/>
        <w:ind w:hanging="0" w:start="0" w:end="0"/>
        <w:jc w:val="start"/>
        <w:rPr/>
      </w:pPr>
      <w:r>
        <w:rPr/>
        <w:t>Preparar Bancos</w:t>
      </w:r>
    </w:p>
    <w:p>
      <w:pPr>
        <w:pStyle w:val="BodyText"/>
        <w:bidi w:val="0"/>
        <w:jc w:val="start"/>
        <w:rPr/>
      </w:pPr>
      <w:r>
        <w:rPr/>
        <w:t>Registre saldo conciliado y, si existen, depósitos y cheques en tránsito por banco, cuenta y moneda.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La cuenta bancaria pertenece a la filial y se vincula con la cuenta contable.</w:t>
      </w:r>
    </w:p>
    <w:p>
      <w:pPr>
        <w:pStyle w:val="BodyText"/>
        <w:bidi w:val="0"/>
        <w:ind w:hanging="0" w:start="0" w:end="0"/>
        <w:jc w:val="start"/>
        <w:rPr/>
      </w:pPr>
      <w:r>
        <w:rPr/>
        <w:t>8</w:t>
      </w:r>
    </w:p>
    <w:p>
      <w:pPr>
        <w:pStyle w:val="Heading3"/>
        <w:bidi w:val="0"/>
        <w:ind w:hanging="0" w:start="0" w:end="0"/>
        <w:jc w:val="start"/>
        <w:rPr/>
      </w:pPr>
      <w:r>
        <w:rPr/>
        <w:t>Seleccionar archivos</w:t>
      </w:r>
    </w:p>
    <w:p>
      <w:pPr>
        <w:pStyle w:val="BodyText"/>
        <w:bidi w:val="0"/>
        <w:jc w:val="start"/>
        <w:rPr/>
      </w:pPr>
      <w:r>
        <w:rPr/>
        <w:t>Adjunte cada archivo en su tarjeta; confirme que el nombre visible corresponde al auxiliar correcto.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La pantalla muestra exactamente los archivos que serán validados.</w:t>
      </w:r>
    </w:p>
    <w:p>
      <w:pPr>
        <w:pStyle w:val="BodyText"/>
        <w:bidi w:val="0"/>
        <w:ind w:hanging="0" w:start="0" w:end="0"/>
        <w:jc w:val="start"/>
        <w:rPr/>
      </w:pPr>
      <w:r>
        <w:rPr/>
        <w:t>9</w:t>
      </w:r>
    </w:p>
    <w:p>
      <w:pPr>
        <w:pStyle w:val="Heading3"/>
        <w:bidi w:val="0"/>
        <w:ind w:hanging="0" w:start="0" w:end="0"/>
        <w:jc w:val="start"/>
        <w:rPr/>
      </w:pPr>
      <w:r>
        <w:rPr/>
        <w:t>Validar y corregir</w:t>
      </w:r>
    </w:p>
    <w:p>
      <w:pPr>
        <w:pStyle w:val="BodyText"/>
        <w:bidi w:val="0"/>
        <w:jc w:val="start"/>
        <w:rPr/>
      </w:pPr>
      <w:r>
        <w:rPr/>
        <w:t>Seleccione Validar y previsualizar. Corrija errores por archivo, fila y campo: fechas, encabezados, dimensiones, categorías y cuentas.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La validación indica correcta y no quedan archivos en rojo.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15240000" cy="9525000"/>
            <wp:effectExtent l="0" t="0" r="0" b="0"/>
            <wp:docPr id="2" name="Imagen2" descr="" title="Captura 2: Confirmación profesional de la aper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 title="Captura 2: Confirmación profesional de la apertura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952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Figura 2. Confirmación profesional de la apertura</w:t>
      </w:r>
    </w:p>
    <w:p>
      <w:pPr>
        <w:pStyle w:val="BodyText"/>
        <w:bidi w:val="0"/>
        <w:ind w:hanging="0" w:start="0" w:end="0"/>
        <w:jc w:val="start"/>
        <w:rPr/>
      </w:pPr>
      <w:r>
        <w:rPr/>
        <w:t>10</w:t>
      </w:r>
    </w:p>
    <w:p>
      <w:pPr>
        <w:pStyle w:val="Heading3"/>
        <w:bidi w:val="0"/>
        <w:ind w:hanging="0" w:start="0" w:end="0"/>
        <w:jc w:val="start"/>
        <w:rPr/>
      </w:pPr>
      <w:r>
        <w:rPr/>
        <w:t>Revisar conciliaciones</w:t>
      </w:r>
    </w:p>
    <w:p>
      <w:pPr>
        <w:pStyle w:val="BodyText"/>
        <w:bidi w:val="0"/>
        <w:jc w:val="start"/>
        <w:rPr/>
      </w:pPr>
      <w:r>
        <w:rPr/>
        <w:t>Compruebe débitos=créditos, Mayor versus CxC/CxP, activos, pendientes y bancos. Toda diferencia debe ser 0,00.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Cada sección muestra Conciliado con el Mayor.</w:t>
      </w:r>
    </w:p>
    <w:p>
      <w:pPr>
        <w:pStyle w:val="BodyText"/>
        <w:bidi w:val="0"/>
        <w:ind w:hanging="0" w:start="0" w:end="0"/>
        <w:jc w:val="start"/>
        <w:rPr/>
      </w:pPr>
      <w:r>
        <w:rPr/>
        <w:t>11</w:t>
      </w:r>
    </w:p>
    <w:p>
      <w:pPr>
        <w:pStyle w:val="Heading3"/>
        <w:bidi w:val="0"/>
        <w:ind w:hanging="0" w:start="0" w:end="0"/>
        <w:jc w:val="start"/>
        <w:rPr/>
      </w:pPr>
      <w:r>
        <w:rPr/>
        <w:t>Contabilizar</w:t>
      </w:r>
    </w:p>
    <w:p>
      <w:pPr>
        <w:pStyle w:val="BodyText"/>
        <w:bidi w:val="0"/>
        <w:jc w:val="start"/>
        <w:rPr/>
      </w:pPr>
      <w:r>
        <w:rPr/>
        <w:t>Abra el modal final, revise filial, fecha, líneas, auxiliares y totales. Confirme una sola vez y espere el resultado.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Se genera el asiento de apertura y los auxiliares sin timeout ni duplicidad.</w:t>
      </w:r>
    </w:p>
    <w:p>
      <w:pPr>
        <w:pStyle w:val="BodyText"/>
        <w:bidi w:val="0"/>
        <w:ind w:hanging="0" w:start="0" w:end="0"/>
        <w:jc w:val="start"/>
        <w:rPr/>
      </w:pPr>
      <w:r>
        <w:rPr/>
        <w:t>12</w:t>
      </w:r>
    </w:p>
    <w:p>
      <w:pPr>
        <w:pStyle w:val="Heading3"/>
        <w:bidi w:val="0"/>
        <w:ind w:hanging="0" w:start="0" w:end="0"/>
        <w:jc w:val="start"/>
        <w:rPr/>
      </w:pPr>
      <w:r>
        <w:rPr/>
        <w:t>Verificar después de la carga</w:t>
      </w:r>
    </w:p>
    <w:p>
      <w:pPr>
        <w:pStyle w:val="BodyText"/>
        <w:bidi w:val="0"/>
        <w:jc w:val="start"/>
        <w:rPr/>
      </w:pPr>
      <w:r>
        <w:rPr/>
        <w:t>Genere Balance, Mayor, CxC, CxP, activos y bancos a la fecha de apertura.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Los saldos coinciden con las actas firmadas.</w:t>
      </w:r>
    </w:p>
    <w:p>
      <w:pPr>
        <w:pStyle w:val="Heading2"/>
        <w:bidi w:val="0"/>
        <w:jc w:val="start"/>
        <w:rPr/>
      </w:pPr>
      <w:r>
        <w:rPr/>
        <w:t>6. Controles clave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No duplicar cuentas de control cargando Mayor y auxiliar dos veces.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Débitos y créditos iguales.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Auxiliares con diferencia 0,00.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Conservar tasa histórica.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No repetir contabilización después de un timeout sin consultar el estado.</w:t>
      </w:r>
    </w:p>
    <w:p>
      <w:pPr>
        <w:pStyle w:val="Heading2"/>
        <w:bidi w:val="0"/>
        <w:jc w:val="start"/>
        <w:rPr/>
      </w:pPr>
      <w:r>
        <w:rPr/>
        <w:t>7. Errores frecuentes y solución</w:t>
      </w:r>
    </w:p>
    <w:tbl>
      <w:tblPr>
        <w:tblW w:w="1434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541"/>
        <w:gridCol w:w="8804"/>
      </w:tblGrid>
      <w:tr>
        <w:trPr>
          <w:tblHeader w:val="true"/>
        </w:trPr>
        <w:tc>
          <w:tcPr>
            <w:tcW w:w="5541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center"/>
              <w:rPr/>
            </w:pPr>
            <w:r>
              <w:rPr/>
              <w:t>Situación</w:t>
            </w:r>
          </w:p>
        </w:tc>
        <w:tc>
          <w:tcPr>
            <w:tcW w:w="8804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center"/>
              <w:rPr/>
            </w:pPr>
            <w:r>
              <w:rPr/>
              <w:t>Acción recomendada</w:t>
            </w:r>
          </w:p>
        </w:tc>
      </w:tr>
      <w:tr>
        <w:trPr/>
        <w:tc>
          <w:tcPr>
            <w:tcW w:w="554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Columna sin encabezado</w:t>
            </w:r>
            <w:r>
              <w:rPr/>
              <w:br/>
            </w:r>
            <w:r>
              <w:rPr>
                <w:color w:val="64748B"/>
              </w:rPr>
              <w:t>Causa: CSV con separador adicional o columna vacía.</w:t>
            </w:r>
          </w:p>
        </w:tc>
        <w:tc>
          <w:tcPr>
            <w:tcW w:w="8804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Revise el archivo identificado, elimine columnas sobrantes y conserve encabezados exactos.</w:t>
            </w:r>
          </w:p>
        </w:tc>
      </w:tr>
      <w:tr>
        <w:trPr/>
        <w:tc>
          <w:tcPr>
            <w:tcW w:w="554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Fecha fuera de rango</w:t>
            </w:r>
            <w:r>
              <w:rPr/>
              <w:br/>
            </w:r>
            <w:r>
              <w:rPr>
                <w:color w:val="64748B"/>
              </w:rPr>
              <w:t>Causa: Formato DD/MM/AAAA no interpretado.</w:t>
            </w:r>
          </w:p>
        </w:tc>
        <w:tc>
          <w:tcPr>
            <w:tcW w:w="8804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Utilice AAAA-MM-DD o el formato documentado en la plantilla.</w:t>
            </w:r>
          </w:p>
        </w:tc>
      </w:tr>
      <w:tr>
        <w:trPr/>
        <w:tc>
          <w:tcPr>
            <w:tcW w:w="554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Dimensión no existe o es ambigua</w:t>
            </w:r>
            <w:r>
              <w:rPr/>
              <w:br/>
            </w:r>
            <w:r>
              <w:rPr>
                <w:color w:val="64748B"/>
              </w:rPr>
              <w:t>Causa: Nombre no exacto, inactivo o fuera de filial.</w:t>
            </w:r>
          </w:p>
        </w:tc>
        <w:tc>
          <w:tcPr>
            <w:tcW w:w="8804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Use código, nombre exacto o ID y corrija el maestro antes de cargar.</w:t>
            </w:r>
          </w:p>
        </w:tc>
      </w:tr>
      <w:tr>
        <w:trPr/>
        <w:tc>
          <w:tcPr>
            <w:tcW w:w="554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Diferencia del Mayor</w:t>
            </w:r>
            <w:r>
              <w:rPr/>
              <w:br/>
            </w:r>
            <w:r>
              <w:rPr>
                <w:color w:val="64748B"/>
              </w:rPr>
              <w:t>Causa: Falta una línea o se duplicó una cuenta de control.</w:t>
            </w:r>
          </w:p>
        </w:tc>
        <w:tc>
          <w:tcPr>
            <w:tcW w:w="8804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Use el detalle por cuenta/moneda; corrija únicamente el archivo origen y vuelva a validar.</w:t>
            </w:r>
          </w:p>
        </w:tc>
      </w:tr>
      <w:tr>
        <w:trPr/>
        <w:tc>
          <w:tcPr>
            <w:tcW w:w="554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Timeout al contabilizar</w:t>
            </w:r>
            <w:r>
              <w:rPr/>
              <w:br/>
            </w:r>
            <w:r>
              <w:rPr>
                <w:color w:val="64748B"/>
              </w:rPr>
              <w:t>Causa: Proceso de carga prolongado.</w:t>
            </w:r>
          </w:p>
        </w:tc>
        <w:tc>
          <w:tcPr>
            <w:tcW w:w="8804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Consulte si el asiento y auxiliares ya fueron creados antes de reintentar.</w:t>
            </w:r>
          </w:p>
        </w:tc>
      </w:tr>
    </w:tbl>
    <w:p>
      <w:pPr>
        <w:pStyle w:val="Heading2"/>
        <w:bidi w:val="0"/>
        <w:jc w:val="start"/>
        <w:rPr/>
      </w:pPr>
      <w:r>
        <w:rPr/>
        <w:t>8. Ejercicio práctico</w:t>
      </w:r>
    </w:p>
    <w:p>
      <w:pPr>
        <w:pStyle w:val="Heading3"/>
        <w:bidi w:val="0"/>
        <w:jc w:val="start"/>
        <w:rPr/>
      </w:pPr>
      <w:r>
        <w:rPr/>
        <w:t>Ensayo de apertura</w:t>
      </w:r>
    </w:p>
    <w:p>
      <w:pPr>
        <w:pStyle w:val="BodyText"/>
        <w:bidi w:val="0"/>
        <w:jc w:val="start"/>
        <w:rPr/>
      </w:pPr>
      <w:r>
        <w:rPr/>
        <w:t>Cargar un lote pequeño con Mayor, dos facturas CxC, un activo y una cuenta bancaria.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Descargar plantillas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Preparar datos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Provocar y corregir un error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Validar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Conciliar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Abrir el modal final sin confirmar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Generar reportes de comprobación</w:t>
      </w:r>
    </w:p>
    <w:p>
      <w:pPr>
        <w:pStyle w:val="Heading3"/>
        <w:bidi w:val="0"/>
        <w:jc w:val="start"/>
        <w:rPr/>
      </w:pPr>
      <w:r>
        <w:rPr/>
        <w:t>Resultado esperado</w:t>
      </w:r>
    </w:p>
    <w:p>
      <w:pPr>
        <w:pStyle w:val="BodyText"/>
        <w:bidi w:val="0"/>
        <w:jc w:val="start"/>
        <w:rPr/>
      </w:pPr>
      <w:r>
        <w:rPr/>
        <w:t>La previsualización queda cuadrada y todos los auxiliares muestran diferencia 0,00.</w:t>
      </w:r>
    </w:p>
    <w:p>
      <w:pPr>
        <w:pStyle w:val="Heading2"/>
        <w:bidi w:val="0"/>
        <w:jc w:val="start"/>
        <w:rPr/>
      </w:pPr>
      <w:r>
        <w:rPr/>
        <w:t>9. Checklist de validación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Plantillas vigentes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Archivos correctos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Fechas válidas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Maestros existentes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Partida doble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Auxiliares conciliados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Tasas históricas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Acta firmada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Contabilización única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Reportes verificados</w:t>
      </w:r>
    </w:p>
    <w:p>
      <w:pPr>
        <w:pStyle w:val="Cuerpodetextorevision"/>
        <w:bidi w:val="0"/>
        <w:spacing w:before="0" w:after="283"/>
        <w:jc w:val="start"/>
        <w:rPr/>
      </w:pPr>
      <w:r>
        <w:rPr/>
        <w:t>GENTIA ERP · CAP-05 · Versión 1.0 · 28 de octubre de 2026</w:t>
      </w:r>
    </w:p>
    <w:sectPr>
      <w:type w:val="nextPage"/>
      <w:pgSz w:w="11906" w:h="16838"/>
      <w:pgMar w:left="879" w:right="879" w:gutter="0" w:header="0" w:top="822" w:footer="0" w:bottom="822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altName w:val="Helvetica"/>
    <w:charset w:val="00" w:characterSet="windows-1252"/>
    <w:family w:val="auto"/>
    <w:pitch w:val="default"/>
  </w:font>
  <w:font w:name="Consolas">
    <w:altName w:val="monospace"/>
    <w:charset w:val="00" w:characterSet="windows-1252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s-C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1"/>
    </w:pPr>
    <w:rPr>
      <w:rFonts w:ascii="Arial;Helvetica;sans-serif" w:hAnsi="Arial;Helvetica;sans-serif" w:eastAsia="Arial;Helvetica;sans-serif" w:cs="Arial;Helvetica;sans-serif"/>
      <w:color w:val="172033"/>
      <w:sz w:val="21"/>
      <w:szCs w:val="21"/>
      <w:lang w:val="es-CR" w:eastAsia="zh-CN" w:bidi="hi-IN"/>
    </w:rPr>
  </w:style>
  <w:style w:type="paragraph" w:styleId="Heading1">
    <w:name w:val="heading 1"/>
    <w:basedOn w:val="Ttulo"/>
    <w:next w:val="BodyText"/>
    <w:qFormat/>
    <w:pPr>
      <w:keepNext w:val="true"/>
      <w:pBdr>
        <w:bottom w:val="single" w:sz="18" w:space="1" w:color="F26A3D"/>
      </w:pBdr>
    </w:pPr>
    <w:rPr>
      <w:b/>
      <w:bCs/>
      <w:color w:val="082F6B"/>
      <w:sz w:val="44"/>
      <w:szCs w:val="44"/>
    </w:rPr>
  </w:style>
  <w:style w:type="paragraph" w:styleId="Heading2">
    <w:name w:val="heading 2"/>
    <w:basedOn w:val="Ttulo"/>
    <w:next w:val="BodyText"/>
    <w:qFormat/>
    <w:pPr>
      <w:keepNext w:val="true"/>
      <w:spacing w:before="200" w:after="120"/>
      <w:outlineLvl w:val="1"/>
    </w:pPr>
    <w:rPr>
      <w:rFonts w:ascii="Liberation Serif" w:hAnsi="Liberation Serif" w:eastAsia="NSimSun" w:cs="Lucida Sans"/>
      <w:b/>
      <w:bCs/>
      <w:color w:val="082F6B"/>
      <w:sz w:val="36"/>
      <w:szCs w:val="36"/>
    </w:rPr>
  </w:style>
  <w:style w:type="paragraph" w:styleId="Heading3">
    <w:name w:val="heading 3"/>
    <w:basedOn w:val="Ttulo"/>
    <w:next w:val="BodyText"/>
    <w:qFormat/>
    <w:pPr>
      <w:keepNext w:val="true"/>
      <w:spacing w:before="140" w:after="120"/>
      <w:outlineLvl w:val="2"/>
    </w:pPr>
    <w:rPr>
      <w:rFonts w:ascii="Liberation Serif" w:hAnsi="Liberation Serif" w:eastAsia="NSimSun" w:cs="Lucida Sans"/>
      <w:b/>
      <w:bCs/>
      <w:color w:val="082F6B"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Hyperlink">
    <w:name w:val="Hyperlink"/>
    <w:rPr>
      <w:color w:val="000080"/>
      <w:u w:val="single"/>
    </w:rPr>
  </w:style>
  <w:style w:type="character" w:styleId="Textooriginal">
    <w:name w:val="Texto original"/>
    <w:qFormat/>
    <w:rPr>
      <w:rFonts w:ascii="Consolas;monospace" w:hAnsi="Consolas;monospace" w:eastAsia="Consolas;monospace" w:cs="Consolas;monospace"/>
      <w:color w:val="082F6B"/>
      <w:sz w:val="19"/>
      <w:szCs w:val="19"/>
      <w:shd w:fill="EEF4FB" w:val="clear"/>
    </w:rPr>
  </w:style>
  <w:style w:type="character" w:styleId="Strong">
    <w:name w:val="Strong"/>
    <w:qFormat/>
    <w:rPr>
      <w:b/>
      <w:bCs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Lneahorizontal">
    <w:name w:val="Líne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nidodelatabla">
    <w:name w:val="Contenido de la tabla"/>
    <w:basedOn w:val="BodyText"/>
    <w:qFormat/>
    <w:pPr/>
    <w:rPr/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Cuerpodetextoconfidential">
    <w:name w:val="Cuerpo de texto.confidential"/>
    <w:basedOn w:val="BodyText"/>
    <w:qFormat/>
    <w:pPr>
      <w:spacing w:before="1134" w:after="283"/>
    </w:pPr>
    <w:rPr>
      <w:color w:val="C8D7EE"/>
      <w:sz w:val="18"/>
      <w:szCs w:val="18"/>
    </w:rPr>
  </w:style>
  <w:style w:type="paragraph" w:styleId="Ttulo2page-break">
    <w:name w:val="Título 2.page-break"/>
    <w:basedOn w:val="Heading2"/>
    <w:qFormat/>
    <w:pPr>
      <w:pageBreakBefore/>
      <w:ind w:hanging="0" w:start="0"/>
      <w:outlineLvl w:val="9"/>
    </w:pPr>
    <w:rPr/>
  </w:style>
  <w:style w:type="paragraph" w:styleId="Cuerpodetextostep-verification">
    <w:name w:val="Cuerpo de texto.step-verification"/>
    <w:basedOn w:val="BodyText"/>
    <w:qFormat/>
    <w:pPr/>
    <w:rPr/>
  </w:style>
  <w:style w:type="paragraph" w:styleId="Cuerpodetextorevision">
    <w:name w:val="Cuerpo de texto.revision"/>
    <w:basedOn w:val="BodyText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es-CR</dc:language>
  <cp:lastModifiedBy/>
  <cp:revision>0</cp:revision>
  <dc:subject/>
  <dc:title>CAP-05 · Manual de Carga y conciliación de saldos iniciales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