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0" w:after="1417"/>
        <w:ind w:hanging="0" w:start="0" w:end="0"/>
        <w:jc w:val="start"/>
        <w:rPr>
          <w:b/>
          <w:spacing w:val="60"/>
          <w:sz w:val="60"/>
        </w:rPr>
      </w:pPr>
      <w:r>
        <w:rPr>
          <w:b/>
          <w:spacing w:val="60"/>
          <w:sz w:val="60"/>
        </w:rPr>
        <w:t>GENTIA</w:t>
      </w:r>
    </w:p>
    <w:p>
      <w:pPr>
        <w:pStyle w:val="BodyText"/>
        <w:bidi w:val="0"/>
        <w:jc w:val="start"/>
        <w:rPr/>
      </w:pPr>
      <w:r>
        <w:rPr/>
        <w:t>MANUAL DE CAPACITACIÓN · CAP-09</w:t>
      </w:r>
    </w:p>
    <w:p>
      <w:pPr>
        <w:pStyle w:val="Heading1"/>
        <w:bidi w:val="0"/>
        <w:jc w:val="start"/>
        <w:rPr/>
      </w:pPr>
      <w:r>
        <w:rPr/>
        <w:t>Aprobaciones y bandeja de trabajo</w:t>
      </w:r>
    </w:p>
    <w:p>
      <w:pPr>
        <w:pStyle w:val="BodyText"/>
        <w:bidi w:val="0"/>
        <w:jc w:val="start"/>
        <w:rPr/>
      </w:pPr>
      <w:r>
        <w:rPr/>
        <w:t>Guía operativa paso a paso para ejecutar el proceso de forma controlada y auditable en GENTIA ERP.</w:t>
      </w:r>
    </w:p>
    <w:tbl>
      <w:tblPr>
        <w:tblW w:w="817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99"/>
        <w:gridCol w:w="6880"/>
      </w:tblGrid>
      <w:tr>
        <w:trPr/>
        <w:tc>
          <w:tcPr>
            <w:tcW w:w="12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Audiencia</w:t>
            </w:r>
          </w:p>
        </w:tc>
        <w:tc>
          <w:tcPr>
            <w:tcW w:w="6880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Aprobadores de proyectos, administrativos, tributarios y administradores</w:t>
            </w:r>
          </w:p>
        </w:tc>
      </w:tr>
      <w:tr>
        <w:trPr/>
        <w:tc>
          <w:tcPr>
            <w:tcW w:w="12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Versión</w:t>
            </w:r>
          </w:p>
        </w:tc>
        <w:tc>
          <w:tcPr>
            <w:tcW w:w="6880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1.0</w:t>
            </w:r>
          </w:p>
        </w:tc>
      </w:tr>
      <w:tr>
        <w:trPr/>
        <w:tc>
          <w:tcPr>
            <w:tcW w:w="12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Fecha</w:t>
            </w:r>
          </w:p>
        </w:tc>
        <w:tc>
          <w:tcPr>
            <w:tcW w:w="6880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28 de octubre de 2026</w:t>
            </w:r>
          </w:p>
        </w:tc>
      </w:tr>
      <w:tr>
        <w:trPr/>
        <w:tc>
          <w:tcPr>
            <w:tcW w:w="12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Ambiente</w:t>
            </w:r>
          </w:p>
        </w:tc>
        <w:tc>
          <w:tcPr>
            <w:tcW w:w="6880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Capacitación / Pruebas</w:t>
            </w:r>
          </w:p>
        </w:tc>
      </w:tr>
      <w:tr>
        <w:trPr/>
        <w:tc>
          <w:tcPr>
            <w:tcW w:w="12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Clasificación</w:t>
            </w:r>
          </w:p>
        </w:tc>
        <w:tc>
          <w:tcPr>
            <w:tcW w:w="6880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Uso interno</w:t>
            </w:r>
          </w:p>
        </w:tc>
      </w:tr>
    </w:tbl>
    <w:p>
      <w:pPr>
        <w:pStyle w:val="Cuerpodetextoconfidential"/>
        <w:bidi w:val="0"/>
        <w:jc w:val="start"/>
        <w:rPr/>
      </w:pPr>
      <w:r>
        <w:rPr/>
        <w:t>Las imágenes utilizan datos ficticios de capacitación. No contienen credenciales ni información productiva.</w:t>
      </w:r>
      <w:r>
        <w:br w:type="page"/>
      </w:r>
    </w:p>
    <w:p>
      <w:pPr>
        <w:pStyle w:val="BodyText"/>
        <w:bidi w:val="0"/>
        <w:spacing w:lineRule="atLeast" w:line="142"/>
        <w:ind w:hanging="0" w:start="0" w:end="0"/>
        <w:jc w:val="start"/>
        <w:rPr/>
      </w:pPr>
      <w:r>
        <w:rPr/>
        <w:t> </w:t>
      </w:r>
    </w:p>
    <w:p>
      <w:pPr>
        <w:pStyle w:val="Heading1"/>
        <w:bidi w:val="0"/>
        <w:jc w:val="start"/>
        <w:rPr/>
      </w:pPr>
      <w:r>
        <w:rPr/>
        <w:t>CAP-09 · Manual de Aprobaciones y bandeja de trabajo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Contenido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Objetivo y alcance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Prerrequisitos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Ruta de acceso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Flujo general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Procedimiento paso a paso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Controles clave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Errores frecuentes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Ejercicio práctico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Checklist de validación</w:t>
      </w:r>
    </w:p>
    <w:p>
      <w:pPr>
        <w:pStyle w:val="Heading2"/>
        <w:bidi w:val="0"/>
        <w:jc w:val="start"/>
        <w:rPr/>
      </w:pPr>
      <w:r>
        <w:rPr/>
        <w:t>1. Objetivo y alcance</w:t>
      </w:r>
    </w:p>
    <w:tbl>
      <w:tblPr>
        <w:tblW w:w="1396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43"/>
        <w:gridCol w:w="12919"/>
      </w:tblGrid>
      <w:tr>
        <w:trPr/>
        <w:tc>
          <w:tcPr>
            <w:tcW w:w="1043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Objetivo</w:t>
            </w:r>
          </w:p>
        </w:tc>
        <w:tc>
          <w:tcPr>
            <w:tcW w:w="1291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Configurar y ejecutar decisiones trazables, con enrutamiento por naturaleza del gasto y sustitución controlada cuando falte un aprobador.</w:t>
            </w:r>
          </w:p>
        </w:tc>
      </w:tr>
      <w:tr>
        <w:trPr/>
        <w:tc>
          <w:tcPr>
            <w:tcW w:w="1043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Audiencia</w:t>
            </w:r>
          </w:p>
        </w:tc>
        <w:tc>
          <w:tcPr>
            <w:tcW w:w="1291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Aprobadores de proyectos, administrativos, tributarios y administradores</w:t>
            </w:r>
          </w:p>
        </w:tc>
      </w:tr>
      <w:tr>
        <w:trPr/>
        <w:tc>
          <w:tcPr>
            <w:tcW w:w="1043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Alcance</w:t>
            </w:r>
          </w:p>
        </w:tc>
        <w:tc>
          <w:tcPr>
            <w:tcW w:w="1291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Configuración, operación, controles, excepciones, evidencia y validación del tema Aprobaciones y bandeja de trabajo.</w:t>
            </w:r>
          </w:p>
        </w:tc>
      </w:tr>
    </w:tbl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Regla de seguridad:</w:t>
      </w:r>
      <w:r>
        <w:rPr/>
        <w:t xml:space="preserve"> confirme siempre la empresa activa, el rol activo y el período antes de guardar una operación. Nunca comparta contraseñas, enlaces de recuperación ni secretos técnicos.</w:t>
      </w:r>
    </w:p>
    <w:p>
      <w:pPr>
        <w:pStyle w:val="Heading2"/>
        <w:bidi w:val="0"/>
        <w:jc w:val="start"/>
        <w:rPr/>
      </w:pPr>
      <w:r>
        <w:rPr/>
        <w:t>2. Prerrequisitos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Roles y permisos de aprobación activos.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Usuarios vinculados a las subsidiarias.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Aprobadores configurados en centros de costos y empresas.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Documentos de prueba listos.</w:t>
      </w:r>
    </w:p>
    <w:p>
      <w:pPr>
        <w:pStyle w:val="Heading2"/>
        <w:bidi w:val="0"/>
        <w:jc w:val="start"/>
        <w:rPr/>
      </w:pPr>
      <w:r>
        <w:rPr/>
        <w:t>3. Ruta de acceso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Textooriginal"/>
        </w:rPr>
        <w:t>/approval-inbox.html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Textooriginal"/>
        </w:rPr>
        <w:t>/approval-workflows.html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Textooriginal"/>
        </w:rPr>
        <w:t>/up-approvers.html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>
          <w:rStyle w:val="Textooriginal"/>
        </w:rPr>
        <w:t>Auditoría del documento</w:t>
      </w:r>
    </w:p>
    <w:p>
      <w:pPr>
        <w:pStyle w:val="Heading2"/>
        <w:bidi w:val="0"/>
        <w:jc w:val="start"/>
        <w:rPr/>
      </w:pPr>
      <w:r>
        <w:rPr/>
        <w:t>4. Flujo general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Configuración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Enrutamiento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Notificación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Revisión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Decisión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Siguiente nivel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Ejecución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Auditoría</w:t>
      </w:r>
    </w:p>
    <w:p>
      <w:pPr>
        <w:pStyle w:val="Ttulo2page-break"/>
        <w:bidi w:val="0"/>
        <w:jc w:val="start"/>
        <w:rPr/>
      </w:pPr>
      <w:r>
        <w:rPr/>
        <w:t>5. Procedimiento paso a paso</w:t>
      </w:r>
    </w:p>
    <w:p>
      <w:pPr>
        <w:pStyle w:val="BodyText"/>
        <w:bidi w:val="0"/>
        <w:ind w:hanging="0" w:start="0" w:end="0"/>
        <w:jc w:val="start"/>
        <w:rPr/>
      </w:pPr>
      <w:r>
        <w:rPr/>
        <w:t>1</w:t>
      </w:r>
    </w:p>
    <w:p>
      <w:pPr>
        <w:pStyle w:val="Heading3"/>
        <w:bidi w:val="0"/>
        <w:ind w:hanging="0" w:start="0" w:end="0"/>
        <w:jc w:val="start"/>
        <w:rPr/>
      </w:pPr>
      <w:r>
        <w:rPr/>
        <w:t>Definir documento y alcance</w:t>
      </w:r>
    </w:p>
    <w:p>
      <w:pPr>
        <w:pStyle w:val="BodyText"/>
        <w:bidi w:val="0"/>
        <w:jc w:val="start"/>
        <w:rPr/>
      </w:pPr>
      <w:r>
        <w:rPr/>
        <w:t>Seleccione tipo, subsidiaria, moneda, rango de monto y condiciones. Evite reglas superpuestas sin prioridad.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La regla tiene vigencia, prioridad y alcance inequívocos.</w:t>
      </w:r>
    </w:p>
    <w:p>
      <w:pPr>
        <w:pStyle w:val="BodyText"/>
        <w:bidi w:val="0"/>
        <w:ind w:hanging="0" w:start="0" w:end="0"/>
        <w:jc w:val="start"/>
        <w:rPr/>
      </w:pPr>
      <w:r>
        <w:rPr/>
        <w:t>2</w:t>
      </w:r>
    </w:p>
    <w:p>
      <w:pPr>
        <w:pStyle w:val="Heading3"/>
        <w:bidi w:val="0"/>
        <w:ind w:hanging="0" w:start="0" w:end="0"/>
        <w:jc w:val="start"/>
        <w:rPr/>
      </w:pPr>
      <w:r>
        <w:rPr/>
        <w:t>Configurar niveles</w:t>
      </w:r>
    </w:p>
    <w:p>
      <w:pPr>
        <w:pStyle w:val="BodyText"/>
        <w:bidi w:val="0"/>
        <w:jc w:val="start"/>
        <w:rPr/>
      </w:pPr>
      <w:r>
        <w:rPr/>
        <w:t>Agregue pasos en orden, indicando rol o usuario, aprobación individual o conjunta y límites.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La simulación muestra una secuencia completa.</w:t>
      </w:r>
    </w:p>
    <w:p>
      <w:pPr>
        <w:pStyle w:val="BodyText"/>
        <w:bidi w:val="0"/>
        <w:ind w:hanging="0" w:start="0" w:end="0"/>
        <w:jc w:val="start"/>
        <w:rPr/>
      </w:pPr>
      <w:r>
        <w:rPr/>
        <w:t>3</w:t>
      </w:r>
    </w:p>
    <w:p>
      <w:pPr>
        <w:pStyle w:val="Heading3"/>
        <w:bidi w:val="0"/>
        <w:ind w:hanging="0" w:start="0" w:end="0"/>
        <w:jc w:val="start"/>
        <w:rPr/>
      </w:pPr>
      <w:r>
        <w:rPr/>
        <w:t>Configurar responsables</w:t>
      </w:r>
    </w:p>
    <w:p>
      <w:pPr>
        <w:pStyle w:val="BodyText"/>
        <w:bidi w:val="0"/>
        <w:jc w:val="start"/>
        <w:rPr/>
      </w:pPr>
      <w:r>
        <w:rPr/>
        <w:t>Asigne Aprobador Proyectos en centros de costos y, en subsidiaria, UP por defecto, Administrativo y Supervisor tributario.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Cada función tiene un usuario activo y autorizado.</w:t>
      </w:r>
    </w:p>
    <w:p>
      <w:pPr>
        <w:pStyle w:val="BodyText"/>
        <w:bidi w:val="0"/>
        <w:ind w:hanging="0" w:start="0" w:end="0"/>
        <w:jc w:val="start"/>
        <w:rPr/>
      </w:pPr>
      <w:r>
        <w:rPr/>
        <w:t>4</w:t>
      </w:r>
    </w:p>
    <w:p>
      <w:pPr>
        <w:pStyle w:val="Heading3"/>
        <w:bidi w:val="0"/>
        <w:ind w:hanging="0" w:start="0" w:end="0"/>
        <w:jc w:val="start"/>
        <w:rPr/>
      </w:pPr>
      <w:r>
        <w:rPr/>
        <w:t>Enviar el documento</w:t>
      </w:r>
    </w:p>
    <w:p>
      <w:pPr>
        <w:pStyle w:val="BodyText"/>
        <w:bidi w:val="0"/>
        <w:jc w:val="start"/>
        <w:rPr/>
      </w:pPr>
      <w:r>
        <w:rPr/>
        <w:t>El solicitante revisa soportes y envía. El sistema evalúa tercero, tipo de departamento, centro, monto y empresa.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El documento queda pendiente y registra aprobador actual.</w:t>
      </w:r>
    </w:p>
    <w:p>
      <w:pPr>
        <w:pStyle w:val="BodyText"/>
        <w:bidi w:val="0"/>
        <w:spacing w:before="0" w:after="0"/>
        <w:jc w:val="start"/>
        <w:rPr/>
      </w:pPr>
      <w:r>
        <w:rPr/>
        <w:drawing>
          <wp:inline distT="0" distB="0" distL="0" distR="0">
            <wp:extent cx="15240000" cy="9525000"/>
            <wp:effectExtent l="0" t="0" r="0" b="0"/>
            <wp:docPr id="1" name="Imagen1" descr="" title="Captura 1: Bandeja central de aprobaci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 title="Captura 1: Bandeja central de aprobaciones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0" cy="952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Figura 1. Bandeja central de aprobaciones</w:t>
      </w:r>
    </w:p>
    <w:p>
      <w:pPr>
        <w:pStyle w:val="BodyText"/>
        <w:bidi w:val="0"/>
        <w:ind w:hanging="0" w:start="0" w:end="0"/>
        <w:jc w:val="start"/>
        <w:rPr/>
      </w:pPr>
      <w:r>
        <w:rPr/>
        <w:t>5</w:t>
      </w:r>
    </w:p>
    <w:p>
      <w:pPr>
        <w:pStyle w:val="Heading3"/>
        <w:bidi w:val="0"/>
        <w:ind w:hanging="0" w:start="0" w:end="0"/>
        <w:jc w:val="start"/>
        <w:rPr/>
      </w:pPr>
      <w:r>
        <w:rPr/>
        <w:t>Recibir la notificación</w:t>
      </w:r>
    </w:p>
    <w:p>
      <w:pPr>
        <w:pStyle w:val="BodyText"/>
        <w:bidi w:val="0"/>
        <w:jc w:val="start"/>
        <w:rPr/>
      </w:pPr>
      <w:r>
        <w:rPr/>
        <w:t>Abra correo o bandeja. El mensaje indica número, solicitante, departamento, centro, monto y enlace seguro.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El enlace exige autenticación y abre el documento vigente.</w:t>
      </w:r>
    </w:p>
    <w:p>
      <w:pPr>
        <w:pStyle w:val="BodyText"/>
        <w:bidi w:val="0"/>
        <w:ind w:hanging="0" w:start="0" w:end="0"/>
        <w:jc w:val="start"/>
        <w:rPr/>
      </w:pPr>
      <w:r>
        <w:rPr/>
        <w:t>6</w:t>
      </w:r>
    </w:p>
    <w:p>
      <w:pPr>
        <w:pStyle w:val="Heading3"/>
        <w:bidi w:val="0"/>
        <w:ind w:hanging="0" w:start="0" w:end="0"/>
        <w:jc w:val="start"/>
        <w:rPr/>
      </w:pPr>
      <w:r>
        <w:rPr/>
        <w:t>Revisar el expediente</w:t>
      </w:r>
    </w:p>
    <w:p>
      <w:pPr>
        <w:pStyle w:val="BodyText"/>
        <w:bidi w:val="0"/>
        <w:jc w:val="start"/>
        <w:rPr/>
      </w:pPr>
      <w:r>
        <w:rPr/>
        <w:t>Examine encabezado, líneas, presupuesto, cuenta, tercero, impuestos, soportes e historial.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La decisión puede justificarse con evidencia visible.</w:t>
      </w:r>
    </w:p>
    <w:p>
      <w:pPr>
        <w:pStyle w:val="BodyText"/>
        <w:bidi w:val="0"/>
        <w:ind w:hanging="0" w:start="0" w:end="0"/>
        <w:jc w:val="start"/>
        <w:rPr/>
      </w:pPr>
      <w:r>
        <w:rPr/>
        <w:t>7</w:t>
      </w:r>
    </w:p>
    <w:p>
      <w:pPr>
        <w:pStyle w:val="Heading3"/>
        <w:bidi w:val="0"/>
        <w:ind w:hanging="0" w:start="0" w:end="0"/>
        <w:jc w:val="start"/>
        <w:rPr/>
      </w:pPr>
      <w:r>
        <w:rPr/>
        <w:t>Aprobar, devolver o rechazar</w:t>
      </w:r>
    </w:p>
    <w:p>
      <w:pPr>
        <w:pStyle w:val="BodyText"/>
        <w:bidi w:val="0"/>
        <w:jc w:val="start"/>
        <w:rPr/>
      </w:pPr>
      <w:r>
        <w:rPr/>
        <w:t>Aprobar continúa; Devolver solicita corrección; Rechazar cierra. Añada comentario específico.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Acción, fecha, usuario y comentario quedan registrados.</w:t>
      </w:r>
    </w:p>
    <w:p>
      <w:pPr>
        <w:pStyle w:val="BodyText"/>
        <w:bidi w:val="0"/>
        <w:ind w:hanging="0" w:start="0" w:end="0"/>
        <w:jc w:val="start"/>
        <w:rPr/>
      </w:pPr>
      <w:r>
        <w:rPr/>
        <w:t>8</w:t>
      </w:r>
    </w:p>
    <w:p>
      <w:pPr>
        <w:pStyle w:val="Heading3"/>
        <w:bidi w:val="0"/>
        <w:ind w:hanging="0" w:start="0" w:end="0"/>
        <w:jc w:val="start"/>
        <w:rPr/>
      </w:pPr>
      <w:r>
        <w:rPr/>
        <w:t>Aplicar ruta por departamento</w:t>
      </w:r>
    </w:p>
    <w:p>
      <w:pPr>
        <w:pStyle w:val="BodyText"/>
        <w:bidi w:val="0"/>
        <w:jc w:val="start"/>
        <w:rPr/>
      </w:pPr>
      <w:r>
        <w:rPr/>
        <w:t>Para Cliente use UP del centro o UP por defecto; para Interno use Aprobador Administrativo.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La bandeja correcta recibe la tarea.</w:t>
      </w:r>
    </w:p>
    <w:p>
      <w:pPr>
        <w:pStyle w:val="BodyText"/>
        <w:bidi w:val="0"/>
        <w:spacing w:before="0" w:after="0"/>
        <w:jc w:val="start"/>
        <w:rPr/>
      </w:pPr>
      <w:r>
        <w:rPr/>
        <w:drawing>
          <wp:inline distT="0" distB="0" distL="0" distR="0">
            <wp:extent cx="15240000" cy="9525000"/>
            <wp:effectExtent l="0" t="0" r="0" b="0"/>
            <wp:docPr id="2" name="Imagen2" descr="" title="Captura 2: Configuración de flujos de aprob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 title="Captura 2: Configuración de flujos de aprobación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0" cy="952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Figura 2. Configuración de flujos de aprobación</w:t>
      </w:r>
    </w:p>
    <w:p>
      <w:pPr>
        <w:pStyle w:val="BodyText"/>
        <w:bidi w:val="0"/>
        <w:ind w:hanging="0" w:start="0" w:end="0"/>
        <w:jc w:val="start"/>
        <w:rPr/>
      </w:pPr>
      <w:r>
        <w:rPr/>
        <w:t>9</w:t>
      </w:r>
    </w:p>
    <w:p>
      <w:pPr>
        <w:pStyle w:val="Heading3"/>
        <w:bidi w:val="0"/>
        <w:ind w:hanging="0" w:start="0" w:end="0"/>
        <w:jc w:val="start"/>
        <w:rPr/>
      </w:pPr>
      <w:r>
        <w:rPr/>
        <w:t>Aplicar ruta tributaria</w:t>
      </w:r>
    </w:p>
    <w:p>
      <w:pPr>
        <w:pStyle w:val="BodyText"/>
        <w:bidi w:val="0"/>
        <w:jc w:val="start"/>
        <w:rPr/>
      </w:pPr>
      <w:r>
        <w:rPr/>
        <w:t>Si el tercero es Agencia Tributaria, enrute al Supervisor tributario aunque existan otras dimensiones.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El supervisor figura como responsable.</w:t>
      </w:r>
    </w:p>
    <w:p>
      <w:pPr>
        <w:pStyle w:val="BodyText"/>
        <w:bidi w:val="0"/>
        <w:ind w:hanging="0" w:start="0" w:end="0"/>
        <w:jc w:val="start"/>
        <w:rPr/>
      </w:pPr>
      <w:r>
        <w:rPr/>
        <w:t>10</w:t>
      </w:r>
    </w:p>
    <w:p>
      <w:pPr>
        <w:pStyle w:val="Heading3"/>
        <w:bidi w:val="0"/>
        <w:ind w:hanging="0" w:start="0" w:end="0"/>
        <w:jc w:val="start"/>
        <w:rPr/>
      </w:pPr>
      <w:r>
        <w:rPr/>
        <w:t>Usar fallback controlado</w:t>
      </w:r>
    </w:p>
    <w:p>
      <w:pPr>
        <w:pStyle w:val="BodyText"/>
        <w:bidi w:val="0"/>
        <w:jc w:val="start"/>
        <w:rPr/>
      </w:pPr>
      <w:r>
        <w:rPr/>
        <w:t>Si falta el aprobador, permita a un administrador autorizado decidir y muestre alerta de configuración pendiente.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La sustitución no bloquea y queda auditada.</w:t>
      </w:r>
    </w:p>
    <w:p>
      <w:pPr>
        <w:pStyle w:val="BodyText"/>
        <w:bidi w:val="0"/>
        <w:ind w:hanging="0" w:start="0" w:end="0"/>
        <w:jc w:val="start"/>
        <w:rPr/>
      </w:pPr>
      <w:r>
        <w:rPr/>
        <w:t>11</w:t>
      </w:r>
    </w:p>
    <w:p>
      <w:pPr>
        <w:pStyle w:val="Heading3"/>
        <w:bidi w:val="0"/>
        <w:ind w:hanging="0" w:start="0" w:end="0"/>
        <w:jc w:val="start"/>
        <w:rPr/>
      </w:pPr>
      <w:r>
        <w:rPr/>
        <w:t>Cerrar y auditar</w:t>
      </w:r>
    </w:p>
    <w:p>
      <w:pPr>
        <w:pStyle w:val="BodyText"/>
        <w:bidi w:val="0"/>
        <w:jc w:val="start"/>
        <w:rPr/>
      </w:pPr>
      <w:r>
        <w:rPr/>
        <w:t>Tras la aprobación final, confirme el paso a ejecución y revise el historial completo.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No hay saltos de nivel ni acciones sin responsable.</w:t>
      </w:r>
    </w:p>
    <w:p>
      <w:pPr>
        <w:pStyle w:val="Heading2"/>
        <w:bidi w:val="0"/>
        <w:jc w:val="start"/>
        <w:rPr/>
      </w:pPr>
      <w:r>
        <w:rPr/>
        <w:t>6. Controles clave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Cliente: UP del centro y, si falta, UP por defecto.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Interno: Aprobador Administrativo.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Agencia Tributaria: Supervisor tributario.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Fallback solo para administrador y auditado.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Límites y filiales restringen al aprobador.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El botón de correo valida sesión y estado.</w:t>
      </w:r>
    </w:p>
    <w:p>
      <w:pPr>
        <w:pStyle w:val="Heading2"/>
        <w:bidi w:val="0"/>
        <w:jc w:val="start"/>
        <w:rPr/>
      </w:pPr>
      <w:r>
        <w:rPr/>
        <w:t>7. Errores frecuentes y solución</w:t>
      </w:r>
    </w:p>
    <w:tbl>
      <w:tblPr>
        <w:tblW w:w="950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119"/>
        <w:gridCol w:w="5386"/>
      </w:tblGrid>
      <w:tr>
        <w:trPr>
          <w:tblHeader w:val="true"/>
        </w:trPr>
        <w:tc>
          <w:tcPr>
            <w:tcW w:w="4119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0" w:after="283"/>
              <w:jc w:val="center"/>
              <w:rPr/>
            </w:pPr>
            <w:r>
              <w:rPr/>
              <w:t>Situación</w:t>
            </w:r>
          </w:p>
        </w:tc>
        <w:tc>
          <w:tcPr>
            <w:tcW w:w="5386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0" w:after="283"/>
              <w:jc w:val="center"/>
              <w:rPr/>
            </w:pPr>
            <w:r>
              <w:rPr/>
              <w:t>Acción recomendada</w:t>
            </w:r>
          </w:p>
        </w:tc>
      </w:tr>
      <w:tr>
        <w:trPr/>
        <w:tc>
          <w:tcPr>
            <w:tcW w:w="411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No existe flujo activo</w:t>
            </w:r>
            <w:r>
              <w:rPr/>
              <w:br/>
            </w:r>
            <w:r>
              <w:rPr>
                <w:color w:val="64748B"/>
              </w:rPr>
              <w:t>Causa: No hay regla vigente o coincidente.</w:t>
            </w:r>
          </w:p>
        </w:tc>
        <w:tc>
          <w:tcPr>
            <w:tcW w:w="538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Active y revise tipo, empresa, moneda, monto y fecha.</w:t>
            </w:r>
          </w:p>
        </w:tc>
      </w:tr>
      <w:tr>
        <w:trPr/>
        <w:tc>
          <w:tcPr>
            <w:tcW w:w="411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Llegó al aprobador equivocado</w:t>
            </w:r>
            <w:r>
              <w:rPr/>
              <w:br/>
            </w:r>
            <w:r>
              <w:rPr>
                <w:color w:val="64748B"/>
              </w:rPr>
              <w:t>Causa: Tipo o centro mal seleccionado.</w:t>
            </w:r>
          </w:p>
        </w:tc>
        <w:tc>
          <w:tcPr>
            <w:tcW w:w="538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Corrija dimensiones y reinicie el flujo con trazabilidad.</w:t>
            </w:r>
          </w:p>
        </w:tc>
      </w:tr>
      <w:tr>
        <w:trPr/>
        <w:tc>
          <w:tcPr>
            <w:tcW w:w="411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El botón del correo no permite aprobar</w:t>
            </w:r>
            <w:r>
              <w:rPr/>
              <w:br/>
            </w:r>
            <w:r>
              <w:rPr>
                <w:color w:val="64748B"/>
              </w:rPr>
              <w:t>Causa: Sesión expirada o estado cambió.</w:t>
            </w:r>
          </w:p>
        </w:tc>
        <w:tc>
          <w:tcPr>
            <w:tcW w:w="538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Inicie sesión, abra bandeja y confirme estado.</w:t>
            </w:r>
          </w:p>
        </w:tc>
      </w:tr>
      <w:tr>
        <w:trPr/>
        <w:tc>
          <w:tcPr>
            <w:tcW w:w="411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Aprobador sin acceso</w:t>
            </w:r>
            <w:r>
              <w:rPr/>
              <w:br/>
            </w:r>
            <w:r>
              <w:rPr>
                <w:color w:val="64748B"/>
              </w:rPr>
              <w:t>Causa: Carece de filial o permiso.</w:t>
            </w:r>
          </w:p>
        </w:tc>
        <w:tc>
          <w:tcPr>
            <w:tcW w:w="538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Asigne solo la empresa y permisos mínimos necesarios.</w:t>
            </w:r>
          </w:p>
        </w:tc>
      </w:tr>
    </w:tbl>
    <w:p>
      <w:pPr>
        <w:pStyle w:val="Heading2"/>
        <w:bidi w:val="0"/>
        <w:jc w:val="start"/>
        <w:rPr/>
      </w:pPr>
      <w:r>
        <w:rPr/>
        <w:t>8. Ejercicio práctico</w:t>
      </w:r>
    </w:p>
    <w:p>
      <w:pPr>
        <w:pStyle w:val="Heading3"/>
        <w:bidi w:val="0"/>
        <w:jc w:val="start"/>
        <w:rPr/>
      </w:pPr>
      <w:r>
        <w:rPr/>
        <w:t>Probar tres rutas</w:t>
      </w:r>
    </w:p>
    <w:p>
      <w:pPr>
        <w:pStyle w:val="BodyText"/>
        <w:bidi w:val="0"/>
        <w:jc w:val="start"/>
        <w:rPr/>
      </w:pPr>
      <w:r>
        <w:rPr/>
        <w:t>Enviar una solicitud Cliente, una Interna y una Tributaria.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Configurar responsables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Enviar tres solicitudes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Verificar bandejas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Devolver una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Corregir y reenviar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Aprobar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Consultar auditoría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Documentar fallback</w:t>
      </w:r>
    </w:p>
    <w:p>
      <w:pPr>
        <w:pStyle w:val="Heading3"/>
        <w:bidi w:val="0"/>
        <w:jc w:val="start"/>
        <w:rPr/>
      </w:pPr>
      <w:r>
        <w:rPr/>
        <w:t>Resultado esperado</w:t>
      </w:r>
    </w:p>
    <w:p>
      <w:pPr>
        <w:pStyle w:val="BodyText"/>
        <w:bidi w:val="0"/>
        <w:jc w:val="start"/>
        <w:rPr/>
      </w:pPr>
      <w:r>
        <w:rPr/>
        <w:t>Cada solicitud llega al responsable definido y las decisiones quedan trazables.</w:t>
      </w:r>
    </w:p>
    <w:p>
      <w:pPr>
        <w:pStyle w:val="Heading2"/>
        <w:bidi w:val="0"/>
        <w:jc w:val="start"/>
        <w:rPr/>
      </w:pPr>
      <w:r>
        <w:rPr/>
        <w:t>9. Checklist de validación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Flujo vigente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Reglas sin conflicto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Niveles ordenados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Aprobadores activos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Filiales asignadas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Correo seguro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Soportes revisados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Comentarios registrados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Fallback auditado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Historial completo</w:t>
      </w:r>
    </w:p>
    <w:p>
      <w:pPr>
        <w:pStyle w:val="Cuerpodetextorevision"/>
        <w:bidi w:val="0"/>
        <w:spacing w:before="0" w:after="283"/>
        <w:jc w:val="start"/>
        <w:rPr/>
      </w:pPr>
      <w:r>
        <w:rPr/>
        <w:t>GENTIA ERP · CAP-09 · Versión 1.0 · 28 de octubre de 2026</w:t>
      </w:r>
    </w:p>
    <w:sectPr>
      <w:type w:val="nextPage"/>
      <w:pgSz w:w="11906" w:h="16838"/>
      <w:pgMar w:left="879" w:right="879" w:gutter="0" w:header="0" w:top="822" w:footer="0" w:bottom="822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altName w:val="Helvetica"/>
    <w:charset w:val="00" w:characterSet="windows-1252"/>
    <w:family w:val="auto"/>
    <w:pitch w:val="default"/>
  </w:font>
  <w:font w:name="Consolas">
    <w:altName w:val="monospace"/>
    <w:charset w:val="00" w:characterSet="windows-1252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s-C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41"/>
    </w:pPr>
    <w:rPr>
      <w:rFonts w:ascii="Arial;Helvetica;sans-serif" w:hAnsi="Arial;Helvetica;sans-serif" w:eastAsia="Arial;Helvetica;sans-serif" w:cs="Arial;Helvetica;sans-serif"/>
      <w:color w:val="172033"/>
      <w:sz w:val="21"/>
      <w:szCs w:val="21"/>
      <w:lang w:val="es-CR" w:eastAsia="zh-CN" w:bidi="hi-IN"/>
    </w:rPr>
  </w:style>
  <w:style w:type="paragraph" w:styleId="Heading1">
    <w:name w:val="heading 1"/>
    <w:basedOn w:val="Ttulo"/>
    <w:next w:val="BodyText"/>
    <w:qFormat/>
    <w:pPr>
      <w:keepNext w:val="true"/>
      <w:pBdr>
        <w:bottom w:val="single" w:sz="18" w:space="1" w:color="F26A3D"/>
      </w:pBdr>
    </w:pPr>
    <w:rPr>
      <w:b/>
      <w:bCs/>
      <w:color w:val="082F6B"/>
      <w:sz w:val="44"/>
      <w:szCs w:val="44"/>
    </w:rPr>
  </w:style>
  <w:style w:type="paragraph" w:styleId="Heading2">
    <w:name w:val="heading 2"/>
    <w:basedOn w:val="Ttulo"/>
    <w:next w:val="BodyText"/>
    <w:qFormat/>
    <w:pPr>
      <w:keepNext w:val="true"/>
      <w:spacing w:before="200" w:after="120"/>
      <w:outlineLvl w:val="1"/>
    </w:pPr>
    <w:rPr>
      <w:rFonts w:ascii="Liberation Serif" w:hAnsi="Liberation Serif" w:eastAsia="NSimSun" w:cs="Lucida Sans"/>
      <w:b/>
      <w:bCs/>
      <w:color w:val="082F6B"/>
      <w:sz w:val="36"/>
      <w:szCs w:val="36"/>
    </w:rPr>
  </w:style>
  <w:style w:type="paragraph" w:styleId="Heading3">
    <w:name w:val="heading 3"/>
    <w:basedOn w:val="Ttulo"/>
    <w:next w:val="BodyText"/>
    <w:qFormat/>
    <w:pPr>
      <w:keepNext w:val="true"/>
      <w:spacing w:before="140" w:after="120"/>
      <w:outlineLvl w:val="2"/>
    </w:pPr>
    <w:rPr>
      <w:rFonts w:ascii="Liberation Serif" w:hAnsi="Liberation Serif" w:eastAsia="NSimSun" w:cs="Lucida Sans"/>
      <w:b/>
      <w:bCs/>
      <w:color w:val="082F6B"/>
      <w:sz w:val="24"/>
      <w:szCs w:val="24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Caracteresdenotafinal">
    <w:name w:val="Caracteres de nota final"/>
    <w:qFormat/>
    <w:rPr/>
  </w:style>
  <w:style w:type="character" w:styleId="Caracteresdenotaalpie">
    <w:name w:val="Caracteres de nota al pie"/>
    <w:qFormat/>
    <w:rPr/>
  </w:style>
  <w:style w:type="character" w:styleId="Hyperlink">
    <w:name w:val="Hyperlink"/>
    <w:rPr>
      <w:color w:val="000080"/>
      <w:u w:val="single"/>
    </w:rPr>
  </w:style>
  <w:style w:type="character" w:styleId="Textooriginal">
    <w:name w:val="Texto original"/>
    <w:qFormat/>
    <w:rPr>
      <w:rFonts w:ascii="Consolas;monospace" w:hAnsi="Consolas;monospace" w:eastAsia="Consolas;monospace" w:cs="Consolas;monospace"/>
      <w:color w:val="082F6B"/>
      <w:sz w:val="19"/>
      <w:szCs w:val="19"/>
      <w:shd w:fill="EEF4FB" w:val="clear"/>
    </w:rPr>
  </w:style>
  <w:style w:type="character" w:styleId="Strong">
    <w:name w:val="Strong"/>
    <w:qFormat/>
    <w:rPr>
      <w:b/>
      <w:bCs/>
    </w:rPr>
  </w:style>
  <w:style w:type="character" w:styleId="Smbolosdenumeracin">
    <w:name w:val="Símbolos de numeración"/>
    <w:qFormat/>
    <w:rPr/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Lneahorizontal">
    <w:name w:val="Línea horizontal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Contenidodelatabla">
    <w:name w:val="Contenido de la tabla"/>
    <w:basedOn w:val="BodyText"/>
    <w:qFormat/>
    <w:pPr/>
    <w:rPr/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List">
    <w:name w:val="List"/>
    <w:basedOn w:val="BodyText"/>
    <w:pPr/>
    <w:rPr>
      <w:rFonts w:cs="Lucida 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Ttulo">
    <w:name w:val="Título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paragraph" w:styleId="Cuerpodetextoconfidential">
    <w:name w:val="Cuerpo de texto.confidential"/>
    <w:basedOn w:val="BodyText"/>
    <w:qFormat/>
    <w:pPr>
      <w:spacing w:before="1134" w:after="283"/>
    </w:pPr>
    <w:rPr>
      <w:color w:val="C8D7EE"/>
      <w:sz w:val="18"/>
      <w:szCs w:val="18"/>
    </w:rPr>
  </w:style>
  <w:style w:type="paragraph" w:styleId="Ttulo2page-break">
    <w:name w:val="Título 2.page-break"/>
    <w:basedOn w:val="Heading2"/>
    <w:qFormat/>
    <w:pPr>
      <w:pageBreakBefore/>
      <w:ind w:hanging="0" w:start="0"/>
      <w:outlineLvl w:val="9"/>
    </w:pPr>
    <w:rPr/>
  </w:style>
  <w:style w:type="paragraph" w:styleId="Cuerpodetextostep-verification">
    <w:name w:val="Cuerpo de texto.step-verification"/>
    <w:basedOn w:val="BodyText"/>
    <w:qFormat/>
    <w:pPr/>
    <w:rPr/>
  </w:style>
  <w:style w:type="paragraph" w:styleId="Cuerpodetextorevision">
    <w:name w:val="Cuerpo de texto.revision"/>
    <w:basedOn w:val="BodyText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LibreOffice/25.2.7.2$Windows_X86_64 LibreOffice_project/5cbfd1ab6520636bb5f7b99185aa69bd7456825d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es-CR</dc:language>
  <cp:lastModifiedBy/>
  <cp:revision>0</cp:revision>
  <dc:subject/>
  <dc:title>CAP-09 · Manual de Aprobaciones y bandeja de trabajo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