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1417"/>
        <w:ind w:hanging="0" w:start="0" w:end="0"/>
        <w:jc w:val="start"/>
        <w:rPr>
          <w:b/>
          <w:spacing w:val="60"/>
          <w:sz w:val="60"/>
        </w:rPr>
      </w:pPr>
      <w:r>
        <w:rPr>
          <w:b/>
          <w:spacing w:val="60"/>
          <w:sz w:val="60"/>
        </w:rPr>
        <w:t>GENTIA</w:t>
      </w:r>
    </w:p>
    <w:p>
      <w:pPr>
        <w:pStyle w:val="BodyText"/>
        <w:bidi w:val="0"/>
        <w:jc w:val="start"/>
        <w:rPr/>
      </w:pPr>
      <w:r>
        <w:rPr/>
        <w:t>MANUAL DE CAPACITACIÓN · CAP-11</w:t>
      </w:r>
    </w:p>
    <w:p>
      <w:pPr>
        <w:pStyle w:val="Heading1"/>
        <w:bidi w:val="0"/>
        <w:jc w:val="start"/>
        <w:rPr/>
      </w:pPr>
      <w:r>
        <w:rPr/>
        <w:t>Tesorería, pagos y archivos bancarios</w:t>
      </w:r>
    </w:p>
    <w:p>
      <w:pPr>
        <w:pStyle w:val="BodyText"/>
        <w:bidi w:val="0"/>
        <w:jc w:val="start"/>
        <w:rPr/>
      </w:pPr>
      <w:r>
        <w:rPr/>
        <w:t>Guía operativa paso a paso para ejecutar el proceso de forma controlada y auditable en GENTIA ERP.</w:t>
      </w:r>
    </w:p>
    <w:tbl>
      <w:tblPr>
        <w:tblW w:w="782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99"/>
        <w:gridCol w:w="6530"/>
      </w:tblGrid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Audiencia</w:t>
            </w:r>
          </w:p>
        </w:tc>
        <w:tc>
          <w:tcPr>
            <w:tcW w:w="6530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Tesorería, Cuentas por Pagar, Contabilidad y aprobadores de pagos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Versión</w:t>
            </w:r>
          </w:p>
        </w:tc>
        <w:tc>
          <w:tcPr>
            <w:tcW w:w="6530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1.0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Fecha</w:t>
            </w:r>
          </w:p>
        </w:tc>
        <w:tc>
          <w:tcPr>
            <w:tcW w:w="6530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28 de octubre de 2026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Ambiente</w:t>
            </w:r>
          </w:p>
        </w:tc>
        <w:tc>
          <w:tcPr>
            <w:tcW w:w="6530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Capacitación / Pruebas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Clasificación</w:t>
            </w:r>
          </w:p>
        </w:tc>
        <w:tc>
          <w:tcPr>
            <w:tcW w:w="6530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Uso interno</w:t>
            </w:r>
          </w:p>
        </w:tc>
      </w:tr>
    </w:tbl>
    <w:p>
      <w:pPr>
        <w:pStyle w:val="Cuerpodetextoconfidential"/>
        <w:bidi w:val="0"/>
        <w:jc w:val="start"/>
        <w:rPr/>
      </w:pPr>
      <w:r>
        <w:rPr/>
        <w:t>Las imágenes utilizan datos ficticios de capacitación. No contienen credenciales ni información productiva.</w:t>
      </w:r>
      <w:r>
        <w:br w:type="page"/>
      </w:r>
    </w:p>
    <w:p>
      <w:pPr>
        <w:pStyle w:val="BodyText"/>
        <w:bidi w:val="0"/>
        <w:spacing w:lineRule="atLeast" w:line="142"/>
        <w:ind w:hanging="0" w:start="0" w:end="0"/>
        <w:jc w:val="start"/>
        <w:rPr/>
      </w:pPr>
      <w:r>
        <w:rPr/>
        <w:t> </w:t>
      </w:r>
    </w:p>
    <w:p>
      <w:pPr>
        <w:pStyle w:val="Heading1"/>
        <w:bidi w:val="0"/>
        <w:jc w:val="start"/>
        <w:rPr/>
      </w:pPr>
      <w:r>
        <w:rPr/>
        <w:t>CAP-11 · Manual de Tesorería, pagos y archivos bancarios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Contenido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Objetivo y alcance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Prerrequisitos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Ruta de acceso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Flujo general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Procedimiento paso a paso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Controles clave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Errores frecuentes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Ejercicio práctico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Checklist de validación</w:t>
      </w:r>
    </w:p>
    <w:p>
      <w:pPr>
        <w:pStyle w:val="Heading2"/>
        <w:bidi w:val="0"/>
        <w:jc w:val="start"/>
        <w:rPr/>
      </w:pPr>
      <w:r>
        <w:rPr/>
        <w:t>1. Objetivo y alcance</w:t>
      </w:r>
    </w:p>
    <w:tbl>
      <w:tblPr>
        <w:tblW w:w="1246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43"/>
        <w:gridCol w:w="11426"/>
      </w:tblGrid>
      <w:tr>
        <w:trPr/>
        <w:tc>
          <w:tcPr>
            <w:tcW w:w="10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Objetivo</w:t>
            </w:r>
          </w:p>
        </w:tc>
        <w:tc>
          <w:tcPr>
            <w:tcW w:w="1142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Programar, ejecutar, agrupar y exportar pagos con control de banco, moneda, beneficiario, aprobación y trazabilidad.</w:t>
            </w:r>
          </w:p>
        </w:tc>
      </w:tr>
      <w:tr>
        <w:trPr/>
        <w:tc>
          <w:tcPr>
            <w:tcW w:w="10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Audiencia</w:t>
            </w:r>
          </w:p>
        </w:tc>
        <w:tc>
          <w:tcPr>
            <w:tcW w:w="1142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Tesorería, Cuentas por Pagar, Contabilidad y aprobadores de pagos</w:t>
            </w:r>
          </w:p>
        </w:tc>
      </w:tr>
      <w:tr>
        <w:trPr/>
        <w:tc>
          <w:tcPr>
            <w:tcW w:w="10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Alcance</w:t>
            </w:r>
          </w:p>
        </w:tc>
        <w:tc>
          <w:tcPr>
            <w:tcW w:w="1142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Configuración, operación, controles, excepciones, evidencia y validación del tema Tesorería, pagos y archivos bancarios.</w:t>
            </w:r>
          </w:p>
        </w:tc>
      </w:tr>
    </w:tbl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Regla de seguridad:</w:t>
      </w:r>
      <w:r>
        <w:rPr/>
        <w:t xml:space="preserve"> confirme siempre la empresa activa, el rol activo y el período antes de guardar una operación. Nunca comparta contraseñas, enlaces de recuperación ni secretos técnicos.</w:t>
      </w:r>
    </w:p>
    <w:p>
      <w:pPr>
        <w:pStyle w:val="Heading2"/>
        <w:bidi w:val="0"/>
        <w:jc w:val="start"/>
        <w:rPr/>
      </w:pPr>
      <w:r>
        <w:rPr/>
        <w:t>2. Prerrequisitos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Solicitudes o facturas aprobadas.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Cuentas bancarias activas.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Datos bancarios de beneficiarios validados.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Formato de pago masivo configurado.</w:t>
      </w:r>
    </w:p>
    <w:p>
      <w:pPr>
        <w:pStyle w:val="Heading2"/>
        <w:bidi w:val="0"/>
        <w:jc w:val="start"/>
        <w:rPr/>
      </w:pPr>
      <w:r>
        <w:rPr/>
        <w:t>3. Ruta de acceso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/treasury.html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/supplier-payments.html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/payment-batches.html?view=generator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Historial de lotes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Textooriginal"/>
        </w:rPr>
        <w:t>Transferencias, depósitos y cheques</w:t>
      </w:r>
    </w:p>
    <w:p>
      <w:pPr>
        <w:pStyle w:val="Heading2"/>
        <w:bidi w:val="0"/>
        <w:jc w:val="start"/>
        <w:rPr/>
      </w:pPr>
      <w:r>
        <w:rPr/>
        <w:t>4. Flujo general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Programación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Selección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Aplicación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Validación bancaria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Lote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Aprobación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Archivo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Contabilización y seguimiento</w:t>
      </w:r>
    </w:p>
    <w:p>
      <w:pPr>
        <w:pStyle w:val="Ttulo2page-break"/>
        <w:bidi w:val="0"/>
        <w:jc w:val="start"/>
        <w:rPr/>
      </w:pPr>
      <w:r>
        <w:rPr/>
        <w:t>5. Procedimiento paso a paso</w:t>
      </w:r>
    </w:p>
    <w:p>
      <w:pPr>
        <w:pStyle w:val="BodyText"/>
        <w:bidi w:val="0"/>
        <w:ind w:hanging="0" w:start="0" w:end="0"/>
        <w:jc w:val="start"/>
        <w:rPr/>
      </w:pPr>
      <w:r>
        <w:rPr/>
        <w:t>1</w:t>
      </w:r>
    </w:p>
    <w:p>
      <w:pPr>
        <w:pStyle w:val="Heading3"/>
        <w:bidi w:val="0"/>
        <w:ind w:hanging="0" w:start="0" w:end="0"/>
        <w:jc w:val="start"/>
        <w:rPr/>
      </w:pPr>
      <w:r>
        <w:rPr/>
        <w:t>Revisar obligaciones</w:t>
      </w:r>
    </w:p>
    <w:p>
      <w:pPr>
        <w:pStyle w:val="BodyText"/>
        <w:bidi w:val="0"/>
        <w:jc w:val="start"/>
        <w:rPr/>
      </w:pPr>
      <w:r>
        <w:rPr/>
        <w:t>Abra Tesorería y filtre por empresa, fecha, moneda, beneficiario, vencimiento y prioridad.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Solo aparecen documentos aprobados y pendientes.</w:t>
      </w:r>
    </w:p>
    <w:p>
      <w:pPr>
        <w:pStyle w:val="BodyText"/>
        <w:bidi w:val="0"/>
        <w:ind w:hanging="0" w:start="0" w:end="0"/>
        <w:jc w:val="start"/>
        <w:rPr/>
      </w:pPr>
      <w:r>
        <w:rPr/>
        <w:t>2</w:t>
      </w:r>
    </w:p>
    <w:p>
      <w:pPr>
        <w:pStyle w:val="Heading3"/>
        <w:bidi w:val="0"/>
        <w:ind w:hanging="0" w:start="0" w:end="0"/>
        <w:jc w:val="start"/>
        <w:rPr/>
      </w:pPr>
      <w:r>
        <w:rPr/>
        <w:t>Preparar el calendario</w:t>
      </w:r>
    </w:p>
    <w:p>
      <w:pPr>
        <w:pStyle w:val="BodyText"/>
        <w:bidi w:val="0"/>
        <w:jc w:val="start"/>
        <w:rPr/>
      </w:pPr>
      <w:r>
        <w:rPr/>
        <w:t>Ordene pagos según vencimiento, descuentos, liquidez y política; documente cualquier retención.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total programado cabe en el disponible autorizado.</w:t>
      </w:r>
    </w:p>
    <w:p>
      <w:pPr>
        <w:pStyle w:val="BodyText"/>
        <w:bidi w:val="0"/>
        <w:ind w:hanging="0" w:start="0" w:end="0"/>
        <w:jc w:val="start"/>
        <w:rPr/>
      </w:pPr>
      <w:r>
        <w:rPr/>
        <w:t>3</w:t>
      </w:r>
    </w:p>
    <w:p>
      <w:pPr>
        <w:pStyle w:val="Heading3"/>
        <w:bidi w:val="0"/>
        <w:ind w:hanging="0" w:start="0" w:end="0"/>
        <w:jc w:val="start"/>
        <w:rPr/>
      </w:pPr>
      <w:r>
        <w:rPr/>
        <w:t>Crear el pago</w:t>
      </w:r>
    </w:p>
    <w:p>
      <w:pPr>
        <w:pStyle w:val="BodyText"/>
        <w:bidi w:val="0"/>
        <w:jc w:val="start"/>
        <w:rPr/>
      </w:pPr>
      <w:r>
        <w:rPr/>
        <w:t>Seleccione beneficiario, banco, cuenta, moneda, fecha, referencia y tasa; no mezcle monedas incompatibles.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La cuenta pertenece a la subsidiaria y moneda.</w:t>
      </w:r>
    </w:p>
    <w:p>
      <w:pPr>
        <w:pStyle w:val="BodyText"/>
        <w:bidi w:val="0"/>
        <w:ind w:hanging="0" w:start="0" w:end="0"/>
        <w:jc w:val="start"/>
        <w:rPr/>
      </w:pPr>
      <w:r>
        <w:rPr/>
        <w:t>4</w:t>
      </w:r>
    </w:p>
    <w:p>
      <w:pPr>
        <w:pStyle w:val="Heading3"/>
        <w:bidi w:val="0"/>
        <w:ind w:hanging="0" w:start="0" w:end="0"/>
        <w:jc w:val="start"/>
        <w:rPr/>
      </w:pPr>
      <w:r>
        <w:rPr/>
        <w:t>Aplicar documentos</w:t>
      </w:r>
    </w:p>
    <w:p>
      <w:pPr>
        <w:pStyle w:val="BodyText"/>
        <w:bidi w:val="0"/>
        <w:jc w:val="start"/>
        <w:rPr/>
      </w:pPr>
      <w:r>
        <w:rPr/>
        <w:t>Marque facturas, notas y anticipos e indique importes totales o parciales sin exceder saldos.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Aplicaciones más retenciones coinciden con el pago.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15240000" cy="9525000"/>
            <wp:effectExtent l="0" t="0" r="0" b="0"/>
            <wp:docPr id="1" name="Imagen1" descr="" title="Captura 1: Posición de tesorería y proyec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 title="Captura 1: Posición de tesorería y proyección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952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Figura 1. Posición de tesorería y proyección</w:t>
      </w:r>
    </w:p>
    <w:p>
      <w:pPr>
        <w:pStyle w:val="BodyText"/>
        <w:bidi w:val="0"/>
        <w:ind w:hanging="0" w:start="0" w:end="0"/>
        <w:jc w:val="start"/>
        <w:rPr/>
      </w:pPr>
      <w:r>
        <w:rPr/>
        <w:t>5</w:t>
      </w:r>
    </w:p>
    <w:p>
      <w:pPr>
        <w:pStyle w:val="Heading3"/>
        <w:bidi w:val="0"/>
        <w:ind w:hanging="0" w:start="0" w:end="0"/>
        <w:jc w:val="start"/>
        <w:rPr/>
      </w:pPr>
      <w:r>
        <w:rPr/>
        <w:t>Revisar impacto</w:t>
      </w:r>
    </w:p>
    <w:p>
      <w:pPr>
        <w:pStyle w:val="BodyText"/>
        <w:bidi w:val="0"/>
        <w:jc w:val="start"/>
        <w:rPr/>
      </w:pPr>
      <w:r>
        <w:rPr/>
        <w:t>Compruebe banco, CxP, anticipos, retenciones, diferencias cambiarias y dimensiones.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asiento preliminar está balanceado.</w:t>
      </w:r>
    </w:p>
    <w:p>
      <w:pPr>
        <w:pStyle w:val="BodyText"/>
        <w:bidi w:val="0"/>
        <w:ind w:hanging="0" w:start="0" w:end="0"/>
        <w:jc w:val="start"/>
        <w:rPr/>
      </w:pPr>
      <w:r>
        <w:rPr/>
        <w:t>6</w:t>
      </w:r>
    </w:p>
    <w:p>
      <w:pPr>
        <w:pStyle w:val="Heading3"/>
        <w:bidi w:val="0"/>
        <w:ind w:hanging="0" w:start="0" w:end="0"/>
        <w:jc w:val="start"/>
        <w:rPr/>
      </w:pPr>
      <w:r>
        <w:rPr/>
        <w:t>Guardar y aprobar</w:t>
      </w:r>
    </w:p>
    <w:p>
      <w:pPr>
        <w:pStyle w:val="BodyText"/>
        <w:bidi w:val="0"/>
        <w:jc w:val="start"/>
        <w:rPr/>
      </w:pPr>
      <w:r>
        <w:rPr/>
        <w:t>Guarde el pago o lote y envíelo al flujo definido; el preparador no debe aprobar cuando haya segregación.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Estado e historial muestran preparador y aprobador.</w:t>
      </w:r>
    </w:p>
    <w:p>
      <w:pPr>
        <w:pStyle w:val="BodyText"/>
        <w:bidi w:val="0"/>
        <w:ind w:hanging="0" w:start="0" w:end="0"/>
        <w:jc w:val="start"/>
        <w:rPr/>
      </w:pPr>
      <w:r>
        <w:rPr/>
        <w:t>7</w:t>
      </w:r>
    </w:p>
    <w:p>
      <w:pPr>
        <w:pStyle w:val="Heading3"/>
        <w:bidi w:val="0"/>
        <w:ind w:hanging="0" w:start="0" w:end="0"/>
        <w:jc w:val="start"/>
        <w:rPr/>
      </w:pPr>
      <w:r>
        <w:rPr/>
        <w:t>Agrupar el lote</w:t>
      </w:r>
    </w:p>
    <w:p>
      <w:pPr>
        <w:pStyle w:val="BodyText"/>
        <w:bidi w:val="0"/>
        <w:jc w:val="start"/>
        <w:rPr/>
      </w:pPr>
      <w:r>
        <w:rPr/>
        <w:t>En el generador seleccione pagos homogéneos por banco, cuenta, moneda, fecha y formato.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lote no contiene duplicados ni pagos ya ejecutados.</w:t>
      </w:r>
    </w:p>
    <w:p>
      <w:pPr>
        <w:pStyle w:val="BodyText"/>
        <w:bidi w:val="0"/>
        <w:ind w:hanging="0" w:start="0" w:end="0"/>
        <w:jc w:val="start"/>
        <w:rPr/>
      </w:pPr>
      <w:r>
        <w:rPr/>
        <w:t>8</w:t>
      </w:r>
    </w:p>
    <w:p>
      <w:pPr>
        <w:pStyle w:val="Heading3"/>
        <w:bidi w:val="0"/>
        <w:ind w:hanging="0" w:start="0" w:end="0"/>
        <w:jc w:val="start"/>
        <w:rPr/>
      </w:pPr>
      <w:r>
        <w:rPr/>
        <w:t>Validar datos bancarios</w:t>
      </w:r>
    </w:p>
    <w:p>
      <w:pPr>
        <w:pStyle w:val="BodyText"/>
        <w:bidi w:val="0"/>
        <w:jc w:val="start"/>
        <w:rPr/>
      </w:pPr>
      <w:r>
        <w:rPr/>
        <w:t>Revise cuenta del beneficiario, identificador, país, banco, tipo de transferencia y longitud de campos.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sistema no reporta campos obligatorios faltantes.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15240000" cy="9525000"/>
            <wp:effectExtent l="0" t="0" r="0" b="0"/>
            <wp:docPr id="2" name="Imagen2" descr="" title="Captura 2: Generador de archivos de pago mas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 title="Captura 2: Generador de archivos de pago masivo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952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Figura 2. Generador de archivos de pago masivo</w:t>
      </w:r>
    </w:p>
    <w:p>
      <w:pPr>
        <w:pStyle w:val="BodyText"/>
        <w:bidi w:val="0"/>
        <w:ind w:hanging="0" w:start="0" w:end="0"/>
        <w:jc w:val="start"/>
        <w:rPr/>
      </w:pPr>
      <w:r>
        <w:rPr/>
        <w:t>9</w:t>
      </w:r>
    </w:p>
    <w:p>
      <w:pPr>
        <w:pStyle w:val="Heading3"/>
        <w:bidi w:val="0"/>
        <w:ind w:hanging="0" w:start="0" w:end="0"/>
        <w:jc w:val="start"/>
        <w:rPr/>
      </w:pPr>
      <w:r>
        <w:rPr/>
        <w:t>Generar el archivo</w:t>
      </w:r>
    </w:p>
    <w:p>
      <w:pPr>
        <w:pStyle w:val="BodyText"/>
        <w:bidi w:val="0"/>
        <w:jc w:val="start"/>
        <w:rPr/>
      </w:pPr>
      <w:r>
        <w:rPr/>
        <w:t>Cree el archivo según el layout bancario, compare cantidad y total con la hoja de control y descargue una sola versión aprobada.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Totales del archivo y lote coinciden al centavo.</w:t>
      </w:r>
    </w:p>
    <w:p>
      <w:pPr>
        <w:pStyle w:val="BodyText"/>
        <w:bidi w:val="0"/>
        <w:ind w:hanging="0" w:start="0" w:end="0"/>
        <w:jc w:val="start"/>
        <w:rPr/>
      </w:pPr>
      <w:r>
        <w:rPr/>
        <w:t>10</w:t>
      </w:r>
    </w:p>
    <w:p>
      <w:pPr>
        <w:pStyle w:val="Heading3"/>
        <w:bidi w:val="0"/>
        <w:ind w:hanging="0" w:start="0" w:end="0"/>
        <w:jc w:val="start"/>
        <w:rPr/>
      </w:pPr>
      <w:r>
        <w:rPr/>
        <w:t>Confirmar ejecución</w:t>
      </w:r>
    </w:p>
    <w:p>
      <w:pPr>
        <w:pStyle w:val="BodyText"/>
        <w:bidi w:val="0"/>
        <w:jc w:val="start"/>
        <w:rPr/>
      </w:pPr>
      <w:r>
        <w:rPr/>
        <w:t>Registre la aceptación o rechazo bancario, contabilice pagos ejecutados y conserve el comprobante.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Cada pago tiene referencia bancaria y estado final.</w:t>
      </w:r>
    </w:p>
    <w:p>
      <w:pPr>
        <w:pStyle w:val="BodyText"/>
        <w:bidi w:val="0"/>
        <w:ind w:hanging="0" w:start="0" w:end="0"/>
        <w:jc w:val="start"/>
        <w:rPr/>
      </w:pPr>
      <w:r>
        <w:rPr/>
        <w:t>11</w:t>
      </w:r>
    </w:p>
    <w:p>
      <w:pPr>
        <w:pStyle w:val="Heading3"/>
        <w:bidi w:val="0"/>
        <w:ind w:hanging="0" w:start="0" w:end="0"/>
        <w:jc w:val="start"/>
        <w:rPr/>
      </w:pPr>
      <w:r>
        <w:rPr/>
        <w:t>Consultar historial</w:t>
      </w:r>
    </w:p>
    <w:p>
      <w:pPr>
        <w:pStyle w:val="BodyText"/>
        <w:bidi w:val="0"/>
        <w:jc w:val="start"/>
        <w:rPr/>
      </w:pPr>
      <w:r>
        <w:rPr/>
        <w:t>Revise archivos, versiones, usuario, fecha, total, rechazos y reintentos desde el historial.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No existen reenvíos sin evidencia ni pagos duplicados.</w:t>
      </w:r>
    </w:p>
    <w:p>
      <w:pPr>
        <w:pStyle w:val="Heading2"/>
        <w:bidi w:val="0"/>
        <w:jc w:val="start"/>
        <w:rPr/>
      </w:pPr>
      <w:r>
        <w:rPr/>
        <w:t>6. Controles clave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Segregación entre preparación, aprobación y ejecución.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Cuenta bancaria de la empresa y moneda correctas.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Aplicación no superior al saldo.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Datos bancarios validados antes del archivo.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Cantidad y total archivo=lote.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Rechazos no se contabilizan como ejecutados.</w:t>
      </w:r>
    </w:p>
    <w:p>
      <w:pPr>
        <w:pStyle w:val="Heading2"/>
        <w:bidi w:val="0"/>
        <w:jc w:val="start"/>
        <w:rPr/>
      </w:pPr>
      <w:r>
        <w:rPr/>
        <w:t>7. Errores frecuentes y solución</w:t>
      </w:r>
    </w:p>
    <w:tbl>
      <w:tblPr>
        <w:tblW w:w="1127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983"/>
        <w:gridCol w:w="6294"/>
      </w:tblGrid>
      <w:tr>
        <w:trPr>
          <w:tblHeader w:val="true"/>
        </w:trPr>
        <w:tc>
          <w:tcPr>
            <w:tcW w:w="4983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center"/>
              <w:rPr/>
            </w:pPr>
            <w:r>
              <w:rPr/>
              <w:t>Situación</w:t>
            </w:r>
          </w:p>
        </w:tc>
        <w:tc>
          <w:tcPr>
            <w:tcW w:w="6294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center"/>
              <w:rPr/>
            </w:pPr>
            <w:r>
              <w:rPr/>
              <w:t>Acción recomendada</w:t>
            </w:r>
          </w:p>
        </w:tc>
      </w:tr>
      <w:tr>
        <w:trPr/>
        <w:tc>
          <w:tcPr>
            <w:tcW w:w="498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Pago no aparece en el lote</w:t>
            </w:r>
            <w:r>
              <w:rPr/>
              <w:br/>
            </w:r>
            <w:r>
              <w:rPr>
                <w:color w:val="64748B"/>
              </w:rPr>
              <w:t>Causa: Estado, banco, moneda o fecha no coincide.</w:t>
            </w:r>
          </w:p>
        </w:tc>
        <w:tc>
          <w:tcPr>
            <w:tcW w:w="6294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Revise filtros y aprobación del pago.</w:t>
            </w:r>
          </w:p>
        </w:tc>
      </w:tr>
      <w:tr>
        <w:trPr/>
        <w:tc>
          <w:tcPr>
            <w:tcW w:w="498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Banco rechaza el archivo</w:t>
            </w:r>
            <w:r>
              <w:rPr/>
              <w:br/>
            </w:r>
            <w:r>
              <w:rPr>
                <w:color w:val="64748B"/>
              </w:rPr>
              <w:t>Causa: Layout o dato bancario inválido.</w:t>
            </w:r>
          </w:p>
        </w:tc>
        <w:tc>
          <w:tcPr>
            <w:tcW w:w="6294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Corrija la fuente maestra, regenere versión y conserve el rechazo.</w:t>
            </w:r>
          </w:p>
        </w:tc>
      </w:tr>
      <w:tr>
        <w:trPr/>
        <w:tc>
          <w:tcPr>
            <w:tcW w:w="498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Pago duplicado</w:t>
            </w:r>
            <w:r>
              <w:rPr/>
              <w:br/>
            </w:r>
            <w:r>
              <w:rPr>
                <w:color w:val="64748B"/>
              </w:rPr>
              <w:t>Causa: Se reprocesó una versión ya aceptada.</w:t>
            </w:r>
          </w:p>
        </w:tc>
        <w:tc>
          <w:tcPr>
            <w:tcW w:w="6294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Verifique referencia e historial antes de reenviar.</w:t>
            </w:r>
          </w:p>
        </w:tc>
      </w:tr>
      <w:tr>
        <w:trPr/>
        <w:tc>
          <w:tcPr>
            <w:tcW w:w="498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Diferencia de lote</w:t>
            </w:r>
            <w:r>
              <w:rPr/>
              <w:br/>
            </w:r>
            <w:r>
              <w:rPr>
                <w:color w:val="64748B"/>
              </w:rPr>
              <w:t>Causa: Aplicaciones o retenciones cambiaron.</w:t>
            </w:r>
          </w:p>
        </w:tc>
        <w:tc>
          <w:tcPr>
            <w:tcW w:w="6294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Regrese a los pagos, revalide y genere un lote nuevo.</w:t>
            </w:r>
          </w:p>
        </w:tc>
      </w:tr>
    </w:tbl>
    <w:p>
      <w:pPr>
        <w:pStyle w:val="Heading2"/>
        <w:bidi w:val="0"/>
        <w:jc w:val="start"/>
        <w:rPr/>
      </w:pPr>
      <w:r>
        <w:rPr/>
        <w:t>8. Ejercicio práctico</w:t>
      </w:r>
    </w:p>
    <w:p>
      <w:pPr>
        <w:pStyle w:val="Heading3"/>
        <w:bidi w:val="0"/>
        <w:jc w:val="start"/>
        <w:rPr/>
      </w:pPr>
      <w:r>
        <w:rPr/>
        <w:t>Lote de pagos a proveedores</w:t>
      </w:r>
    </w:p>
    <w:p>
      <w:pPr>
        <w:pStyle w:val="BodyText"/>
        <w:bidi w:val="0"/>
        <w:jc w:val="start"/>
        <w:rPr/>
      </w:pPr>
      <w:r>
        <w:rPr/>
        <w:t>Programar tres facturas, aplicar un anticipo y generar archivo bancario.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Filtrar obligaciones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Crear pagos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Aplicar anticipo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Revisar asientos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Aprobar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Agrupar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Validar beneficiarios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Generar archivo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Confirmar ejecución</w:t>
      </w:r>
    </w:p>
    <w:p>
      <w:pPr>
        <w:pStyle w:val="Heading3"/>
        <w:bidi w:val="0"/>
        <w:jc w:val="start"/>
        <w:rPr/>
      </w:pPr>
      <w:r>
        <w:rPr/>
        <w:t>Resultado esperado</w:t>
      </w:r>
    </w:p>
    <w:p>
      <w:pPr>
        <w:pStyle w:val="BodyText"/>
        <w:bidi w:val="0"/>
        <w:jc w:val="start"/>
        <w:rPr/>
      </w:pPr>
      <w:r>
        <w:rPr/>
        <w:t>Lote y archivo coinciden; pagos quedan referenciados y sin duplicación.</w:t>
      </w:r>
    </w:p>
    <w:p>
      <w:pPr>
        <w:pStyle w:val="Heading2"/>
        <w:bidi w:val="0"/>
        <w:jc w:val="start"/>
        <w:rPr/>
      </w:pPr>
      <w:r>
        <w:rPr/>
        <w:t>9. Checklist de validación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Obligaciones aprobadas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Liquidez revisada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Cuenta y moneda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Aplicaciones correctas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Impacto balanceado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Segregación aplicada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Datos bancarios completos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Totales coinciden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Archivo versionado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Respuesta bancaria archivada</w:t>
      </w:r>
    </w:p>
    <w:p>
      <w:pPr>
        <w:pStyle w:val="Cuerpodetextorevision"/>
        <w:bidi w:val="0"/>
        <w:spacing w:before="0" w:after="283"/>
        <w:jc w:val="start"/>
        <w:rPr/>
      </w:pPr>
      <w:r>
        <w:rPr/>
        <w:t>GENTIA ERP · CAP-11 · Versión 1.0 · 28 de octubre de 2026</w:t>
      </w:r>
    </w:p>
    <w:sectPr>
      <w:type w:val="nextPage"/>
      <w:pgSz w:w="11906" w:h="16838"/>
      <w:pgMar w:left="879" w:right="879" w:gutter="0" w:header="0" w:top="822" w:footer="0" w:bottom="822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altName w:val="Helvetica"/>
    <w:charset w:val="00" w:characterSet="windows-1252"/>
    <w:family w:val="auto"/>
    <w:pitch w:val="default"/>
  </w:font>
  <w:font w:name="Consolas">
    <w:altName w:val="monospace"/>
    <w:charset w:val="00" w:characterSet="windows-1252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s-C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1"/>
    </w:pPr>
    <w:rPr>
      <w:rFonts w:ascii="Arial;Helvetica;sans-serif" w:hAnsi="Arial;Helvetica;sans-serif" w:eastAsia="Arial;Helvetica;sans-serif" w:cs="Arial;Helvetica;sans-serif"/>
      <w:color w:val="172033"/>
      <w:sz w:val="21"/>
      <w:szCs w:val="21"/>
      <w:lang w:val="es-CR" w:eastAsia="zh-CN" w:bidi="hi-IN"/>
    </w:rPr>
  </w:style>
  <w:style w:type="paragraph" w:styleId="Heading1">
    <w:name w:val="heading 1"/>
    <w:basedOn w:val="Ttulo"/>
    <w:next w:val="BodyText"/>
    <w:qFormat/>
    <w:pPr>
      <w:keepNext w:val="true"/>
      <w:pBdr>
        <w:bottom w:val="single" w:sz="18" w:space="1" w:color="F26A3D"/>
      </w:pBdr>
    </w:pPr>
    <w:rPr>
      <w:b/>
      <w:bCs/>
      <w:color w:val="082F6B"/>
      <w:sz w:val="44"/>
      <w:szCs w:val="44"/>
    </w:rPr>
  </w:style>
  <w:style w:type="paragraph" w:styleId="Heading2">
    <w:name w:val="heading 2"/>
    <w:basedOn w:val="Ttulo"/>
    <w:next w:val="BodyText"/>
    <w:qFormat/>
    <w:pPr>
      <w:keepNext w:val="true"/>
      <w:spacing w:before="200" w:after="120"/>
      <w:outlineLvl w:val="1"/>
    </w:pPr>
    <w:rPr>
      <w:rFonts w:ascii="Liberation Serif" w:hAnsi="Liberation Serif" w:eastAsia="NSimSun" w:cs="Lucida Sans"/>
      <w:b/>
      <w:bCs/>
      <w:color w:val="082F6B"/>
      <w:sz w:val="36"/>
      <w:szCs w:val="36"/>
    </w:rPr>
  </w:style>
  <w:style w:type="paragraph" w:styleId="Heading3">
    <w:name w:val="heading 3"/>
    <w:basedOn w:val="Ttulo"/>
    <w:next w:val="BodyText"/>
    <w:qFormat/>
    <w:pPr>
      <w:keepNext w:val="true"/>
      <w:spacing w:before="140" w:after="120"/>
      <w:outlineLvl w:val="2"/>
    </w:pPr>
    <w:rPr>
      <w:rFonts w:ascii="Liberation Serif" w:hAnsi="Liberation Serif" w:eastAsia="NSimSun" w:cs="Lucida Sans"/>
      <w:b/>
      <w:bCs/>
      <w:color w:val="082F6B"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Hyperlink">
    <w:name w:val="Hyperlink"/>
    <w:rPr>
      <w:color w:val="000080"/>
      <w:u w:val="single"/>
    </w:rPr>
  </w:style>
  <w:style w:type="character" w:styleId="Textooriginal">
    <w:name w:val="Texto original"/>
    <w:qFormat/>
    <w:rPr>
      <w:rFonts w:ascii="Consolas;monospace" w:hAnsi="Consolas;monospace" w:eastAsia="Consolas;monospace" w:cs="Consolas;monospace"/>
      <w:color w:val="082F6B"/>
      <w:sz w:val="19"/>
      <w:szCs w:val="19"/>
      <w:shd w:fill="EEF4FB" w:val="clear"/>
    </w:rPr>
  </w:style>
  <w:style w:type="character" w:styleId="Strong">
    <w:name w:val="Strong"/>
    <w:qFormat/>
    <w:rPr>
      <w:b/>
      <w:bCs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Lneahorizontal">
    <w:name w:val="Líne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nidodelatabla">
    <w:name w:val="Contenido de la tabla"/>
    <w:basedOn w:val="BodyText"/>
    <w:qFormat/>
    <w:pPr/>
    <w:rPr/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Cuerpodetextoconfidential">
    <w:name w:val="Cuerpo de texto.confidential"/>
    <w:basedOn w:val="BodyText"/>
    <w:qFormat/>
    <w:pPr>
      <w:spacing w:before="1134" w:after="283"/>
    </w:pPr>
    <w:rPr>
      <w:color w:val="C8D7EE"/>
      <w:sz w:val="18"/>
      <w:szCs w:val="18"/>
    </w:rPr>
  </w:style>
  <w:style w:type="paragraph" w:styleId="Ttulo2page-break">
    <w:name w:val="Título 2.page-break"/>
    <w:basedOn w:val="Heading2"/>
    <w:qFormat/>
    <w:pPr>
      <w:pageBreakBefore/>
      <w:ind w:hanging="0" w:start="0"/>
      <w:outlineLvl w:val="9"/>
    </w:pPr>
    <w:rPr/>
  </w:style>
  <w:style w:type="paragraph" w:styleId="Cuerpodetextostep-verification">
    <w:name w:val="Cuerpo de texto.step-verification"/>
    <w:basedOn w:val="BodyText"/>
    <w:qFormat/>
    <w:pPr/>
    <w:rPr/>
  </w:style>
  <w:style w:type="paragraph" w:styleId="Cuerpodetextorevision">
    <w:name w:val="Cuerpo de texto.revision"/>
    <w:basedOn w:val="BodyText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es-CR</dc:language>
  <cp:lastModifiedBy/>
  <cp:revision>0</cp:revision>
  <dc:subject/>
  <dc:title>CAP-11 · Manual de Tesorería, pagos y archivos bancarios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