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eastAsia="宋体" w:cs="宋体"/>
          <w:b/>
          <w:i w:val="0"/>
          <w:sz w:val="32"/>
          <w:szCs w:val="32"/>
        </w:rPr>
      </w:pPr>
      <w:r>
        <w:rPr>
          <w:rFonts w:ascii="宋体" w:hAnsi="宋体" w:eastAsia="宋体" w:cs="宋体"/>
          <w:b/>
          <w:i w:val="0"/>
          <w:sz w:val="32"/>
          <w:szCs w:val="32"/>
        </w:rPr>
        <w:t>参考答案：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选择题：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1-5 </w:t>
      </w:r>
      <w:r>
        <w:rPr>
          <w:rFonts w:hint="eastAsia"/>
          <w:b/>
          <w:bCs/>
          <w:sz w:val="32"/>
          <w:szCs w:val="32"/>
          <w:lang w:val="en-US" w:eastAsia="zh-CN"/>
        </w:rPr>
        <w:t>CBBCD</w:t>
      </w:r>
      <w:r>
        <w:rPr>
          <w:rFonts w:hint="eastAsia"/>
          <w:sz w:val="32"/>
          <w:szCs w:val="32"/>
          <w:lang w:val="en-US" w:eastAsia="zh-CN"/>
        </w:rPr>
        <w:t xml:space="preserve">     6-10 </w:t>
      </w:r>
      <w:r>
        <w:rPr>
          <w:rFonts w:hint="eastAsia"/>
          <w:b/>
          <w:bCs/>
          <w:sz w:val="32"/>
          <w:szCs w:val="32"/>
          <w:lang w:val="en-US" w:eastAsia="zh-CN"/>
        </w:rPr>
        <w:t>DCCAA</w:t>
      </w:r>
      <w:r>
        <w:rPr>
          <w:rFonts w:hint="eastAsia"/>
          <w:sz w:val="32"/>
          <w:szCs w:val="32"/>
          <w:lang w:val="en-US" w:eastAsia="zh-CN"/>
        </w:rPr>
        <w:t xml:space="preserve">     11-15 </w:t>
      </w:r>
      <w:r>
        <w:rPr>
          <w:rFonts w:hint="eastAsia"/>
          <w:b/>
          <w:bCs/>
          <w:sz w:val="32"/>
          <w:szCs w:val="32"/>
          <w:lang w:val="en-US" w:eastAsia="zh-CN"/>
        </w:rPr>
        <w:t>DDBCB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16-20 </w:t>
      </w:r>
      <w:r>
        <w:rPr>
          <w:rFonts w:hint="eastAsia"/>
          <w:b/>
          <w:bCs/>
          <w:sz w:val="32"/>
          <w:szCs w:val="32"/>
          <w:lang w:val="en-US" w:eastAsia="zh-CN"/>
        </w:rPr>
        <w:t>AACDD</w:t>
      </w:r>
      <w:r>
        <w:rPr>
          <w:rFonts w:hint="eastAsia"/>
          <w:sz w:val="32"/>
          <w:szCs w:val="32"/>
          <w:lang w:val="en-US" w:eastAsia="zh-CN"/>
        </w:rPr>
        <w:t xml:space="preserve">   21-25 </w:t>
      </w:r>
      <w:r>
        <w:rPr>
          <w:rFonts w:hint="eastAsia"/>
          <w:b/>
          <w:bCs/>
          <w:sz w:val="32"/>
          <w:szCs w:val="32"/>
          <w:lang w:val="en-US" w:eastAsia="zh-CN"/>
        </w:rPr>
        <w:t>ABDBC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综合题：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26．(1)纬度低，高温期长，降水持续时间长；地形复杂，山地海拔高，垂直地域分异明显；森林种类丰富，为不同类型的野生食用菌提供了生存条件。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(2)南华县野生食用菌种类丰富、品质高、产量大；菌类加工产品类型多样，可满足不同人群的食用需要；产品宣传和销售的渠道多，力度大；消费市场广阔；交通便利，产品能快速抵达市场。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(3)</w:t>
      </w:r>
      <w:r>
        <w:drawing>
          <wp:inline distT="0" distB="0" distL="114300" distR="114300">
            <wp:extent cx="5086350" cy="1381125"/>
            <wp:effectExtent l="0" t="0" r="6350" b="3175"/>
            <wp:docPr id="1940435144" name="图片 194043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35144" name="图片 19404351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jc w:val="left"/>
        <w:textAlignment w:val="center"/>
      </w:pPr>
    </w:p>
    <w:p>
      <w:pPr>
        <w:shd w:val="clear" w:color="auto" w:fill="FFFFFF"/>
        <w:spacing w:line="360" w:lineRule="auto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7</w:t>
      </w:r>
      <w:r>
        <w:t>．(1)服务业污染少，对环境影响较小；可提供大量岗位，增加就业；带动区域消费，促进区域经济发展；附加值较高，经济效益好；促进区域产业结构调整。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(2)减少拆迁带来的污染；降低投资成本；工业遗产为产业转型发展提供了丰富的资源；废置的厂房为购物等服务业的发展提供了规模较大的场地；租金较低，可吸引大量商户；保留工业遗产，可传承和保护城市的工业文化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(3)利用工业建筑、矿区、工业设施等发展商品零售、餐饮住宿、休闲娱乐、科教文化（如博物馆等）、工业旅游等。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(4)位于鲁尔区中部，对外联系便利，服务范围广；原有的工业场地为购物中心提供了空间；德国及周边国家经济发达，居民消费水平高；商品类型丰富，吸引不同的消费人群；有完善的立体运输网络，利于人员和商品在此集散；规模大、服务功能齐全，对消费者的吸引力大；政策支持，促进购物中心的发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yNWNjNDM0MmZhY2YzZDFlODZiZDg1NjIwODhjZmMifQ=="/>
  </w:docVars>
  <w:rsids>
    <w:rsidRoot w:val="0AA31278"/>
    <w:rsid w:val="0AA3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2023-04-26T07:16:00Z</dcterms:created>
  <dc:creator>〆流年</dc:creator>
  <cp:lastModifiedBy>〆流年</cp:lastModifiedBy>
  <dcterms:modified xsi:type="dcterms:W3CDTF">2023-04-26T07:17:32Z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BC3FF1747CFA4222AA090EDF3038C607_11</vt:lpwstr>
  </property>
</Properties>
</file>