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Consideraciones sobre los datasets Framingham clean y Cardio Train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Fuentes: Kaggle</w:t>
      </w:r>
    </w:p>
    <w:p w:rsidR="00000000" w:rsidDel="00000000" w:rsidP="00000000" w:rsidRDefault="00000000" w:rsidRPr="00000000" w14:paraId="00000003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Comparando ambos conjuntos de datos: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 Dataset (Framingham)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Incluye variables específicas como education, BPMeds, y prevalentStroke que son relevantes para un análisis detallado de los factores de riesgo cardiovascular. Además, tiene una variable objetivo TenYearCHD que es útil para estudios prospectivos de riesgo a 10 años.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 Dataset (Cardiotrain)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80" w:before="0" w:line="36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Tiene una estructura más directa y puede ser más accesible para manejar, especialmente con variables básicas y claras que son fundamentales en estudios de riesgo cardiovascular como height, weight, ap_hi, ap_lo, cholesterol, y gluc. La variable cardio como objetivo permite realizar análisis de clasificación directa para detectar la presencia de enfermedades cardiovasculares.</w:t>
      </w:r>
    </w:p>
    <w:p w:rsidR="00000000" w:rsidDel="00000000" w:rsidP="00000000" w:rsidRDefault="00000000" w:rsidRPr="00000000" w14:paraId="00000008">
      <w:pPr>
        <w:spacing w:after="280" w:before="28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Ambos datasets son útiles, pero su elección depende del enfoque específico: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8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el objetivo es realizar un análisis predictivo detallado con un enfoque en la intervención y gestión de factores a largo plazo,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primer dataset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(Framingham) podría ser más adecuado debido a su enfoque en factores longitudinales y la inclusión de variables médicas específicas adicionales.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80" w:before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prefiere centrarse en el análisis de datos y la implementación de modelos de aprendizaje de máquina más directos con menos necesidad de preprocesamiento y un enfoque en la identificación inmediata de factores de riesgo, 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segundo dataset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puede ser más práctico y accesible.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1525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1525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A1525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1525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1525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1525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152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152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152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1525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52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1525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525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525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525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525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525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525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525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52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1525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52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152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1525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1525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1525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1525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525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15251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A152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NL" w:val="en-NL"/>
    </w:rPr>
  </w:style>
  <w:style w:type="character" w:styleId="Strong">
    <w:name w:val="Strong"/>
    <w:basedOn w:val="DefaultParagraphFont"/>
    <w:uiPriority w:val="22"/>
    <w:qFormat w:val="1"/>
    <w:rsid w:val="00A1525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A1525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t3RttCXaO4REp59mphYVUrxf3w==">CgMxLjA4AHIhMXJkT2N0SUw2S2tMSjE2T3g0TGpUTm1xZXRXT2YyRk1S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2024-06-14T18:55:00Z</dcterms:created>
  <dc:creator>Noelia Smits</dc:creator>
</cp:coreProperties>
</file>