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система,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p w14:paraId="0546A6C7" w14:textId="77777777" w:rsidR="005F1900" w:rsidRDefault="005F1900" w:rsidP="005F1900"/>
    <w:p w14:paraId="4C9B50FC" w14:textId="3117DAEA" w:rsidR="0061336C" w:rsidRDefault="0061336C" w:rsidP="007A4E3B">
      <w:pPr>
        <w:spacing w:before="240"/>
      </w:pPr>
      <w:r>
        <w:t>Определение критериев приемки новых информационных систем, модернизированных</w:t>
      </w:r>
      <w:r>
        <w:rPr>
          <w:lang w:val="en-US"/>
        </w:rPr>
        <w:t>/</w:t>
      </w:r>
      <w:r>
        <w:t>новых версий. Должны быть выполнены подходящие испытания системы в ходе разработки и до приёмки.</w:t>
      </w:r>
    </w:p>
    <w:p w14:paraId="455F028F" w14:textId="7CFD2516" w:rsidR="00A13CC4" w:rsidRDefault="00A13CC4" w:rsidP="00A13CC4">
      <w:pPr>
        <w:pStyle w:val="a3"/>
        <w:numPr>
          <w:ilvl w:val="0"/>
          <w:numId w:val="17"/>
        </w:numPr>
        <w:spacing w:before="240"/>
      </w:pPr>
      <w:r>
        <w:t>Реализация средств управления обнаружением, предотвращение и восстановлением защиты против злонамеренного кода, а так же процедуры ознакомления соответствующих пользователей.</w:t>
      </w:r>
    </w:p>
    <w:p w14:paraId="1684C9EF" w14:textId="17B3B598" w:rsidR="00A13CC4" w:rsidRDefault="00A13CC4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политики, запрещающей использование не разрешенного программного обеспечения;</w:t>
      </w:r>
    </w:p>
    <w:p w14:paraId="644A376C" w14:textId="3604A37E" w:rsidR="00A13CC4" w:rsidRPr="00884CF7" w:rsidRDefault="00FB6462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 для защиты от рисков, связанных с получением файлов и ПО из внешних сетей или же любом другом носителе</w:t>
      </w:r>
    </w:p>
    <w:p w14:paraId="025512F8" w14:textId="27864621" w:rsidR="008962AD" w:rsidRDefault="00884CF7" w:rsidP="00791E71">
      <w:pPr>
        <w:pStyle w:val="a3"/>
        <w:numPr>
          <w:ilvl w:val="0"/>
          <w:numId w:val="17"/>
        </w:numPr>
        <w:spacing w:before="240"/>
      </w:pPr>
      <w:r>
        <w:t>Проведение регулярного анализа ПО и содержание данных систем, относящихся к критическим деловым процессам.</w:t>
      </w:r>
    </w:p>
    <w:p w14:paraId="653D3029" w14:textId="17084A2E" w:rsidR="00791E71" w:rsidRDefault="00791E71" w:rsidP="00791E71">
      <w:pPr>
        <w:pStyle w:val="a3"/>
        <w:numPr>
          <w:ilvl w:val="0"/>
          <w:numId w:val="17"/>
        </w:numPr>
        <w:spacing w:before="240"/>
      </w:pPr>
      <w:r>
        <w:t>Создание четко определенной политики в отношении мобильного кода</w:t>
      </w:r>
    </w:p>
    <w:p w14:paraId="71A8004B" w14:textId="0F8B36AB" w:rsidR="00E8423A" w:rsidRDefault="00E8423A" w:rsidP="00E8423A">
      <w:pPr>
        <w:pStyle w:val="a3"/>
        <w:numPr>
          <w:ilvl w:val="0"/>
          <w:numId w:val="17"/>
        </w:numPr>
        <w:spacing w:before="240"/>
      </w:pPr>
      <w:r>
        <w:t>Резервное копирование</w:t>
      </w:r>
    </w:p>
    <w:p w14:paraId="7587E749" w14:textId="423513EC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Реализация выполнения резервного копирования в соответствии с политикой резервирования</w:t>
      </w:r>
    </w:p>
    <w:p w14:paraId="094A0DB8" w14:textId="4E6BE507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Резервный копирование необходимого уровня</w:t>
      </w:r>
    </w:p>
    <w:p w14:paraId="191A2ACD" w14:textId="77777777" w:rsidR="00AD4662" w:rsidRDefault="00AD4662" w:rsidP="00006D13">
      <w:pPr>
        <w:spacing w:before="240"/>
      </w:pPr>
    </w:p>
    <w:p w14:paraId="4AD9E69E" w14:textId="08E31605" w:rsidR="00006D13" w:rsidRDefault="00006D13" w:rsidP="00006D13">
      <w:pPr>
        <w:spacing w:before="240"/>
      </w:pPr>
      <w:r>
        <w:t>Процедуры для использования беспроводных средств связи.</w:t>
      </w:r>
    </w:p>
    <w:p w14:paraId="0AD070EC" w14:textId="60EBD5F9" w:rsidR="00006D13" w:rsidRDefault="0027664E" w:rsidP="00006D13">
      <w:pPr>
        <w:pStyle w:val="a3"/>
        <w:numPr>
          <w:ilvl w:val="0"/>
          <w:numId w:val="19"/>
        </w:numPr>
        <w:spacing w:before="240"/>
      </w:pPr>
      <w:r w:rsidRPr="0027664E">
        <w:t>Использование криптографических</w:t>
      </w:r>
      <w:r>
        <w:t xml:space="preserve"> методов защиты</w:t>
      </w:r>
    </w:p>
    <w:p w14:paraId="2202CFD5" w14:textId="6184F130" w:rsidR="0027664E" w:rsidRDefault="00A03FB7" w:rsidP="00006D13">
      <w:pPr>
        <w:pStyle w:val="a3"/>
        <w:numPr>
          <w:ilvl w:val="0"/>
          <w:numId w:val="19"/>
        </w:numPr>
        <w:spacing w:before="240"/>
      </w:pPr>
      <w:r>
        <w:t>Сохранение и ликвидация всей деловой корреспонденции</w:t>
      </w:r>
    </w:p>
    <w:p w14:paraId="56E31AB8" w14:textId="24183BB3" w:rsidR="00A03FB7" w:rsidRDefault="009B2DF5" w:rsidP="00006D13">
      <w:pPr>
        <w:pStyle w:val="a3"/>
        <w:numPr>
          <w:ilvl w:val="0"/>
          <w:numId w:val="19"/>
        </w:numPr>
        <w:spacing w:before="240"/>
      </w:pPr>
      <w:r>
        <w:t>Не оставлять уязвимую или критическую на средствах печати</w:t>
      </w:r>
    </w:p>
    <w:p w14:paraId="05E45832" w14:textId="200BEE4A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Защита передаваемой информации, которая имеет форму приложения</w:t>
      </w:r>
    </w:p>
    <w:p w14:paraId="74BA0983" w14:textId="7D6AACF3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Процедура уведомления отправителя о передаче, отправке и получении</w:t>
      </w:r>
    </w:p>
    <w:p w14:paraId="74E7D887" w14:textId="7AB9F210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 xml:space="preserve">Процедура для обеспечения прослеживаемости и </w:t>
      </w:r>
      <w:proofErr w:type="spellStart"/>
      <w:r>
        <w:t>неотрекаемости</w:t>
      </w:r>
      <w:proofErr w:type="spellEnd"/>
    </w:p>
    <w:p w14:paraId="1B6DAC3B" w14:textId="77777777" w:rsidR="00F9655D" w:rsidRDefault="006B111C" w:rsidP="00F9655D">
      <w:pPr>
        <w:spacing w:before="240"/>
      </w:pPr>
      <w:r>
        <w:t>Услуги электронной торговли</w:t>
      </w:r>
    </w:p>
    <w:p w14:paraId="482DCBC0" w14:textId="77777777" w:rsidR="003469D5" w:rsidRDefault="003469D5" w:rsidP="003469D5">
      <w:pPr>
        <w:pStyle w:val="a3"/>
        <w:numPr>
          <w:ilvl w:val="0"/>
          <w:numId w:val="21"/>
        </w:numPr>
        <w:spacing w:before="240"/>
      </w:pPr>
      <w:r>
        <w:t>Степень уверенности</w:t>
      </w:r>
    </w:p>
    <w:p w14:paraId="043A2B8B" w14:textId="53F3EC9F" w:rsidR="006B111C" w:rsidRDefault="003469D5" w:rsidP="003469D5">
      <w:pPr>
        <w:pStyle w:val="a3"/>
        <w:numPr>
          <w:ilvl w:val="0"/>
          <w:numId w:val="21"/>
        </w:numPr>
        <w:spacing w:before="240"/>
      </w:pPr>
      <w:r>
        <w:t>Определение и выполнение требований конфиденциальности</w:t>
      </w:r>
    </w:p>
    <w:p w14:paraId="069BCFC0" w14:textId="7E00F3ED" w:rsidR="003469D5" w:rsidRDefault="003469D5" w:rsidP="00C75D13">
      <w:pPr>
        <w:pStyle w:val="a3"/>
        <w:numPr>
          <w:ilvl w:val="0"/>
          <w:numId w:val="21"/>
        </w:numPr>
        <w:spacing w:before="240"/>
      </w:pPr>
      <w:r>
        <w:t>Исключение потери или дублирование информации о сделке</w:t>
      </w:r>
    </w:p>
    <w:p w14:paraId="059AB49A" w14:textId="77777777" w:rsidR="00C75D13" w:rsidRDefault="00C75D13" w:rsidP="00C75D13">
      <w:pPr>
        <w:spacing w:before="240"/>
      </w:pPr>
    </w:p>
    <w:p w14:paraId="3854D1E5" w14:textId="29050500" w:rsidR="00C75D13" w:rsidRDefault="00C75D13" w:rsidP="00C75D13">
      <w:pPr>
        <w:spacing w:before="240"/>
        <w:rPr>
          <w:b/>
        </w:rPr>
      </w:pPr>
      <w:r w:rsidRPr="00C75D13">
        <w:rPr>
          <w:b/>
        </w:rPr>
        <w:t>Удаленный доступ</w:t>
      </w:r>
    </w:p>
    <w:p w14:paraId="409D9D6D" w14:textId="6490393A" w:rsidR="00C75D13" w:rsidRDefault="00C75D13" w:rsidP="00C75D13">
      <w:pPr>
        <w:spacing w:before="240"/>
        <w:rPr>
          <w:lang w:val="en-US"/>
        </w:rPr>
      </w:pPr>
      <w:r>
        <w:t>Должна включать в себя требования</w:t>
      </w:r>
      <w:r>
        <w:rPr>
          <w:lang w:val="en-US"/>
        </w:rPr>
        <w:t>:</w:t>
      </w:r>
    </w:p>
    <w:p w14:paraId="54588FC4" w14:textId="04C8998A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Физической защите</w:t>
      </w:r>
    </w:p>
    <w:p w14:paraId="048887A6" w14:textId="6D05844C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Методам шифрования</w:t>
      </w:r>
    </w:p>
    <w:p w14:paraId="07B14875" w14:textId="6DF83B13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Резервному копированию</w:t>
      </w:r>
    </w:p>
    <w:p w14:paraId="4D75B751" w14:textId="6E69FC77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Защите от вирусов</w:t>
      </w:r>
    </w:p>
    <w:p w14:paraId="3075BFB4" w14:textId="0DB1199F" w:rsidR="00AE0CE7" w:rsidRDefault="00C75D13" w:rsidP="00C75D13">
      <w:pPr>
        <w:spacing w:before="240"/>
      </w:pPr>
      <w:r>
        <w:t>также включать правила и советы по подключению мобильных средств к сети. И руководящие указания по использованию этих средств в общедоступных местах.</w:t>
      </w:r>
    </w:p>
    <w:p w14:paraId="5E30A4C7" w14:textId="74726BCF" w:rsidR="00AE0CE7" w:rsidRDefault="00AE0CE7" w:rsidP="00C75D13">
      <w:pPr>
        <w:spacing w:before="240"/>
        <w:rPr>
          <w:lang w:val="en-US"/>
        </w:rPr>
      </w:pPr>
      <w:r>
        <w:t>При удаленном доступе следует обратить внимание на следующее</w:t>
      </w:r>
      <w:r>
        <w:rPr>
          <w:lang w:val="en-US"/>
        </w:rPr>
        <w:t>:</w:t>
      </w:r>
    </w:p>
    <w:p w14:paraId="2F1930D0" w14:textId="67379CC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Физическая защита места удаленного доступа</w:t>
      </w:r>
    </w:p>
    <w:p w14:paraId="2A591E32" w14:textId="60614638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Требования защиты связи при удаленном доступе к внутренним системам организации</w:t>
      </w:r>
    </w:p>
    <w:p w14:paraId="0ECFB46E" w14:textId="06581BCE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информации к которой будет осуществляться доступ</w:t>
      </w:r>
    </w:p>
    <w:p w14:paraId="14504583" w14:textId="77777777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внутренней системы</w:t>
      </w:r>
    </w:p>
    <w:p w14:paraId="6C65B40A" w14:textId="3F20C08B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Угроза неразрешенного доступа к ресурсам других лиц (семья, друзья)</w:t>
      </w:r>
    </w:p>
    <w:p w14:paraId="3A613AFD" w14:textId="7DBCE0B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Использование домашних сетей и требования или ограничения использования на конфигурацию услуг беспроводной сети</w:t>
      </w:r>
    </w:p>
    <w:p w14:paraId="4963103F" w14:textId="3859B996" w:rsidR="006F7797" w:rsidRDefault="004D40B8" w:rsidP="006F7797">
      <w:pPr>
        <w:pStyle w:val="a3"/>
        <w:numPr>
          <w:ilvl w:val="0"/>
          <w:numId w:val="23"/>
        </w:numPr>
        <w:spacing w:before="240"/>
      </w:pPr>
      <w:r>
        <w:t xml:space="preserve">Требования к </w:t>
      </w:r>
      <w:r w:rsidR="00861BC2">
        <w:t>брандмауэру</w:t>
      </w:r>
    </w:p>
    <w:p w14:paraId="653176D2" w14:textId="77777777" w:rsidR="006F7797" w:rsidRPr="0078685B" w:rsidRDefault="006F7797" w:rsidP="006F7797">
      <w:pPr>
        <w:spacing w:before="240"/>
      </w:pPr>
      <w:bookmarkStart w:id="0" w:name="_GoBack"/>
      <w:bookmarkEnd w:id="0"/>
    </w:p>
    <w:sectPr w:rsidR="006F7797" w:rsidRPr="0078685B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934"/>
    <w:multiLevelType w:val="hybridMultilevel"/>
    <w:tmpl w:val="F5426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2F9"/>
    <w:multiLevelType w:val="hybridMultilevel"/>
    <w:tmpl w:val="E70A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77014"/>
    <w:multiLevelType w:val="hybridMultilevel"/>
    <w:tmpl w:val="C60C7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35A47"/>
    <w:multiLevelType w:val="hybridMultilevel"/>
    <w:tmpl w:val="6926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07D1"/>
    <w:multiLevelType w:val="hybridMultilevel"/>
    <w:tmpl w:val="826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07090"/>
    <w:multiLevelType w:val="hybridMultilevel"/>
    <w:tmpl w:val="90B6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4569A"/>
    <w:multiLevelType w:val="hybridMultilevel"/>
    <w:tmpl w:val="D3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711A9"/>
    <w:multiLevelType w:val="hybridMultilevel"/>
    <w:tmpl w:val="00C2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35383"/>
    <w:multiLevelType w:val="hybridMultilevel"/>
    <w:tmpl w:val="C694A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3"/>
  </w:num>
  <w:num w:numId="5">
    <w:abstractNumId w:val="13"/>
  </w:num>
  <w:num w:numId="6">
    <w:abstractNumId w:val="1"/>
  </w:num>
  <w:num w:numId="7">
    <w:abstractNumId w:val="16"/>
  </w:num>
  <w:num w:numId="8">
    <w:abstractNumId w:val="15"/>
  </w:num>
  <w:num w:numId="9">
    <w:abstractNumId w:val="24"/>
  </w:num>
  <w:num w:numId="10">
    <w:abstractNumId w:val="11"/>
  </w:num>
  <w:num w:numId="11">
    <w:abstractNumId w:val="4"/>
  </w:num>
  <w:num w:numId="12">
    <w:abstractNumId w:val="18"/>
  </w:num>
  <w:num w:numId="13">
    <w:abstractNumId w:val="7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17"/>
  </w:num>
  <w:num w:numId="21">
    <w:abstractNumId w:val="2"/>
  </w:num>
  <w:num w:numId="22">
    <w:abstractNumId w:val="0"/>
  </w:num>
  <w:num w:numId="23">
    <w:abstractNumId w:val="23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06D13"/>
    <w:rsid w:val="00016845"/>
    <w:rsid w:val="000A4A20"/>
    <w:rsid w:val="000A4EBF"/>
    <w:rsid w:val="000A7A37"/>
    <w:rsid w:val="00114C4E"/>
    <w:rsid w:val="00116C28"/>
    <w:rsid w:val="00131D12"/>
    <w:rsid w:val="001338A5"/>
    <w:rsid w:val="001367D9"/>
    <w:rsid w:val="0014130F"/>
    <w:rsid w:val="00144C76"/>
    <w:rsid w:val="00224B29"/>
    <w:rsid w:val="00250FC8"/>
    <w:rsid w:val="002622DF"/>
    <w:rsid w:val="0027664E"/>
    <w:rsid w:val="002B7BE4"/>
    <w:rsid w:val="003469D5"/>
    <w:rsid w:val="0036265F"/>
    <w:rsid w:val="003B01CC"/>
    <w:rsid w:val="003C0B01"/>
    <w:rsid w:val="003D26E5"/>
    <w:rsid w:val="003D347C"/>
    <w:rsid w:val="00480372"/>
    <w:rsid w:val="004A5A5D"/>
    <w:rsid w:val="004D40B8"/>
    <w:rsid w:val="004E5F58"/>
    <w:rsid w:val="00512DCB"/>
    <w:rsid w:val="00514A85"/>
    <w:rsid w:val="005B2EB9"/>
    <w:rsid w:val="005C42B6"/>
    <w:rsid w:val="005F1900"/>
    <w:rsid w:val="0061336C"/>
    <w:rsid w:val="00652478"/>
    <w:rsid w:val="006648EF"/>
    <w:rsid w:val="006B111C"/>
    <w:rsid w:val="006F7797"/>
    <w:rsid w:val="00741D31"/>
    <w:rsid w:val="00782BB6"/>
    <w:rsid w:val="0078685B"/>
    <w:rsid w:val="00791E71"/>
    <w:rsid w:val="007A4E3B"/>
    <w:rsid w:val="007D5D07"/>
    <w:rsid w:val="00803F42"/>
    <w:rsid w:val="00847148"/>
    <w:rsid w:val="00861BC2"/>
    <w:rsid w:val="00884CF7"/>
    <w:rsid w:val="008962AD"/>
    <w:rsid w:val="009B2DF5"/>
    <w:rsid w:val="009F6079"/>
    <w:rsid w:val="00A03FB7"/>
    <w:rsid w:val="00A13CC4"/>
    <w:rsid w:val="00AB6ADD"/>
    <w:rsid w:val="00AC4B44"/>
    <w:rsid w:val="00AC7AA5"/>
    <w:rsid w:val="00AD4662"/>
    <w:rsid w:val="00AE0CE7"/>
    <w:rsid w:val="00AF0295"/>
    <w:rsid w:val="00B148B8"/>
    <w:rsid w:val="00B244D4"/>
    <w:rsid w:val="00B47337"/>
    <w:rsid w:val="00B647FE"/>
    <w:rsid w:val="00BE3747"/>
    <w:rsid w:val="00C154B4"/>
    <w:rsid w:val="00C25A74"/>
    <w:rsid w:val="00C364F9"/>
    <w:rsid w:val="00C75D13"/>
    <w:rsid w:val="00C82836"/>
    <w:rsid w:val="00C87DC9"/>
    <w:rsid w:val="00DA2791"/>
    <w:rsid w:val="00E54027"/>
    <w:rsid w:val="00E71E23"/>
    <w:rsid w:val="00E8423A"/>
    <w:rsid w:val="00ED1DB8"/>
    <w:rsid w:val="00ED4D98"/>
    <w:rsid w:val="00F15FD2"/>
    <w:rsid w:val="00F9655D"/>
    <w:rsid w:val="00FA0025"/>
    <w:rsid w:val="00FA36A3"/>
    <w:rsid w:val="00FB6462"/>
    <w:rsid w:val="00FD0EF7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2016-09-06T12:25:00Z</dcterms:created>
  <dcterms:modified xsi:type="dcterms:W3CDTF">2016-10-11T14:12:00Z</dcterms:modified>
</cp:coreProperties>
</file>