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F5" w:rsidRDefault="00C01BC0" w:rsidP="00C01BC0">
      <w:pPr>
        <w:jc w:val="center"/>
        <w:rPr>
          <w:b/>
          <w:sz w:val="32"/>
        </w:rPr>
      </w:pPr>
      <w:r w:rsidRPr="00C01BC0">
        <w:rPr>
          <w:b/>
          <w:sz w:val="32"/>
        </w:rPr>
        <w:t>Доклад</w:t>
      </w:r>
    </w:p>
    <w:p w:rsidR="00C01BC0" w:rsidRPr="00C01BC0" w:rsidRDefault="00C01BC0" w:rsidP="00C01BC0">
      <w:pPr>
        <w:rPr>
          <w:u w:val="single"/>
        </w:rPr>
      </w:pPr>
      <w:bookmarkStart w:id="0" w:name="_Toc468117028"/>
      <w:r w:rsidRPr="00C01BC0">
        <w:rPr>
          <w:b/>
          <w:u w:val="single"/>
          <w:bdr w:val="none" w:sz="0" w:space="0" w:color="auto" w:frame="1"/>
        </w:rPr>
        <w:t>Моделирование</w:t>
      </w:r>
      <w:bookmarkEnd w:id="0"/>
    </w:p>
    <w:p w:rsidR="00C01BC0" w:rsidRPr="00D56786" w:rsidRDefault="00C01BC0" w:rsidP="00C01BC0">
      <w:pPr>
        <w:spacing w:line="276" w:lineRule="auto"/>
        <w:jc w:val="both"/>
        <w:rPr>
          <w:color w:val="373737"/>
          <w:szCs w:val="28"/>
        </w:rPr>
      </w:pPr>
      <w:r w:rsidRPr="00D56786">
        <w:rPr>
          <w:rStyle w:val="a3"/>
          <w:color w:val="373737"/>
          <w:szCs w:val="28"/>
          <w:bdr w:val="none" w:sz="0" w:space="0" w:color="auto" w:frame="1"/>
        </w:rPr>
        <w:t>Модель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это упрощенный образ объекта из реальной жизни, в котором отражаются его наиболее важные характеристики, с точки зрения исследования.</w:t>
      </w:r>
    </w:p>
    <w:p w:rsidR="00C01BC0" w:rsidRPr="00C01BC0" w:rsidRDefault="00C01BC0" w:rsidP="00C01BC0">
      <w:pPr>
        <w:rPr>
          <w:b/>
          <w:u w:val="single"/>
        </w:rPr>
      </w:pPr>
      <w:bookmarkStart w:id="1" w:name="_Toc468117029"/>
      <w:r w:rsidRPr="00C01BC0">
        <w:rPr>
          <w:b/>
          <w:u w:val="single"/>
          <w:bdr w:val="none" w:sz="0" w:space="0" w:color="auto" w:frame="1"/>
        </w:rPr>
        <w:t>Что такое прогнозирование?</w:t>
      </w:r>
      <w:bookmarkEnd w:id="1"/>
    </w:p>
    <w:p w:rsidR="00C01BC0" w:rsidRPr="00D56786" w:rsidRDefault="00C01BC0" w:rsidP="00C01BC0">
      <w:pPr>
        <w:spacing w:line="276" w:lineRule="auto"/>
        <w:rPr>
          <w:color w:val="373737"/>
          <w:szCs w:val="28"/>
        </w:rPr>
      </w:pPr>
      <w:r w:rsidRPr="00D56786">
        <w:rPr>
          <w:rStyle w:val="a3"/>
          <w:color w:val="373737"/>
          <w:szCs w:val="28"/>
          <w:bdr w:val="none" w:sz="0" w:space="0" w:color="auto" w:frame="1"/>
        </w:rPr>
        <w:t>Прогнозирование</w:t>
      </w:r>
      <w:r w:rsidRPr="00D56786">
        <w:rPr>
          <w:rStyle w:val="apple-converted-space"/>
          <w:b/>
          <w:bCs/>
          <w:color w:val="373737"/>
          <w:szCs w:val="28"/>
          <w:bdr w:val="none" w:sz="0" w:space="0" w:color="auto" w:frame="1"/>
        </w:rPr>
        <w:t> </w:t>
      </w:r>
      <w:r w:rsidRPr="00D56786">
        <w:rPr>
          <w:color w:val="373737"/>
          <w:szCs w:val="28"/>
        </w:rPr>
        <w:t>– это предвидение (предсказание), которое предполагает состояние или описание возможных или желательных аспектов, состоя</w:t>
      </w:r>
      <w:r>
        <w:rPr>
          <w:color w:val="373737"/>
          <w:szCs w:val="28"/>
        </w:rPr>
        <w:t>ний, решений, проблем будущего.</w:t>
      </w:r>
      <w:r w:rsidRPr="00D56786">
        <w:rPr>
          <w:color w:val="373737"/>
          <w:szCs w:val="28"/>
        </w:rPr>
        <w:br/>
      </w:r>
      <w:r w:rsidRPr="00D56786">
        <w:rPr>
          <w:rStyle w:val="a3"/>
          <w:color w:val="373737"/>
          <w:szCs w:val="28"/>
          <w:bdr w:val="none" w:sz="0" w:space="0" w:color="auto" w:frame="1"/>
        </w:rPr>
        <w:t>Прогноз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это результат процесса прогнозирования, выраженный в словесной, математической, графической или другой форме суждения о возможном состоянии объекта и его среды в будущий период времени.</w:t>
      </w:r>
      <w:r w:rsidRPr="00D56786">
        <w:rPr>
          <w:color w:val="373737"/>
          <w:szCs w:val="28"/>
        </w:rPr>
        <w:br/>
      </w:r>
      <w:r w:rsidRPr="00D56786">
        <w:rPr>
          <w:rStyle w:val="a3"/>
          <w:color w:val="373737"/>
          <w:szCs w:val="28"/>
          <w:bdr w:val="none" w:sz="0" w:space="0" w:color="auto" w:frame="1"/>
        </w:rPr>
        <w:t>Метод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это сложный прием, упорядоченная совокупность простых приемов, направленных на разработку прогноза в целом; путь, способ достижения цели, исходящий из знания наиболее общих закономерностей.</w:t>
      </w:r>
      <w:r w:rsidRPr="00D56786">
        <w:rPr>
          <w:color w:val="373737"/>
          <w:szCs w:val="28"/>
        </w:rPr>
        <w:br/>
      </w:r>
      <w:r w:rsidRPr="00D56786">
        <w:rPr>
          <w:rStyle w:val="a3"/>
          <w:color w:val="373737"/>
          <w:szCs w:val="28"/>
          <w:bdr w:val="none" w:sz="0" w:space="0" w:color="auto" w:frame="1"/>
        </w:rPr>
        <w:t>Методика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определенное сочетание приемов (способов) выполнения прогностических операций, получение и обработка информации о будущем на основе однородных методов разработки прогноза.</w:t>
      </w:r>
      <w:r w:rsidRPr="00D56786">
        <w:rPr>
          <w:color w:val="373737"/>
          <w:szCs w:val="28"/>
        </w:rPr>
        <w:br/>
      </w:r>
      <w:r w:rsidRPr="00D56786">
        <w:rPr>
          <w:rStyle w:val="a3"/>
          <w:color w:val="373737"/>
          <w:szCs w:val="28"/>
          <w:bdr w:val="none" w:sz="0" w:space="0" w:color="auto" w:frame="1"/>
        </w:rPr>
        <w:t>Методология прогнозирования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область знания о методах, способах, системах прогнозирования.</w:t>
      </w:r>
      <w:r w:rsidRPr="00D56786">
        <w:rPr>
          <w:color w:val="373737"/>
          <w:szCs w:val="28"/>
        </w:rPr>
        <w:br/>
      </w:r>
      <w:r w:rsidRPr="00D56786">
        <w:rPr>
          <w:rStyle w:val="a3"/>
          <w:color w:val="373737"/>
          <w:szCs w:val="28"/>
          <w:bdr w:val="none" w:sz="0" w:space="0" w:color="auto" w:frame="1"/>
        </w:rPr>
        <w:t>Система прогнозирования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это упорядоченная совокупность методик, технических средств, предназначенная для прогнозирования сложных явлений или процессов.</w:t>
      </w:r>
    </w:p>
    <w:p w:rsidR="00F85A97" w:rsidRPr="00D56786" w:rsidRDefault="00F85A97" w:rsidP="00F85A97">
      <w:pPr>
        <w:pStyle w:val="3"/>
      </w:pPr>
      <w:bookmarkStart w:id="2" w:name="_Toc468117031"/>
      <w:r w:rsidRPr="00D56786">
        <w:rPr>
          <w:rStyle w:val="a3"/>
          <w:b w:val="0"/>
          <w:bCs w:val="0"/>
        </w:rPr>
        <w:t>Формализованные методы:</w:t>
      </w:r>
      <w:bookmarkEnd w:id="2"/>
    </w:p>
    <w:p w:rsidR="00F85A97" w:rsidRPr="00D56786" w:rsidRDefault="00F85A97" w:rsidP="00F85A97">
      <w:pPr>
        <w:numPr>
          <w:ilvl w:val="0"/>
          <w:numId w:val="1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 xml:space="preserve">Метод </w:t>
      </w:r>
      <w:r w:rsidR="004343DE" w:rsidRPr="00D56786">
        <w:rPr>
          <w:color w:val="373737"/>
          <w:szCs w:val="28"/>
        </w:rPr>
        <w:t>экстраполяции</w:t>
      </w:r>
      <w:bookmarkStart w:id="3" w:name="_GoBack"/>
      <w:bookmarkEnd w:id="3"/>
      <w:r w:rsidRPr="00D56786">
        <w:rPr>
          <w:color w:val="373737"/>
          <w:szCs w:val="28"/>
        </w:rPr>
        <w:t xml:space="preserve"> трендов;</w:t>
      </w:r>
    </w:p>
    <w:p w:rsidR="00F85A97" w:rsidRPr="00D56786" w:rsidRDefault="00F85A97" w:rsidP="00F85A97">
      <w:pPr>
        <w:numPr>
          <w:ilvl w:val="0"/>
          <w:numId w:val="1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Методы корреляционного и регрессионного анализов;</w:t>
      </w:r>
    </w:p>
    <w:p w:rsidR="00F85A97" w:rsidRPr="00D56786" w:rsidRDefault="00F85A97" w:rsidP="00F85A97">
      <w:pPr>
        <w:numPr>
          <w:ilvl w:val="0"/>
          <w:numId w:val="1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Методы математического моделирования.</w:t>
      </w:r>
    </w:p>
    <w:p w:rsidR="00F85A97" w:rsidRPr="00D56786" w:rsidRDefault="00F85A97" w:rsidP="00F85A97">
      <w:pPr>
        <w:spacing w:line="276" w:lineRule="auto"/>
        <w:rPr>
          <w:color w:val="373737"/>
          <w:szCs w:val="28"/>
        </w:rPr>
      </w:pPr>
      <w:bookmarkStart w:id="4" w:name="_Toc468117032"/>
      <w:r w:rsidRPr="00D56786">
        <w:rPr>
          <w:rStyle w:val="30"/>
        </w:rPr>
        <w:t>Экспертные методы прогнозирования:</w:t>
      </w:r>
      <w:bookmarkEnd w:id="4"/>
      <w:r w:rsidRPr="00D56786">
        <w:rPr>
          <w:rStyle w:val="30"/>
        </w:rPr>
        <w:br/>
      </w:r>
      <w:r w:rsidRPr="00D56786">
        <w:rPr>
          <w:rStyle w:val="a3"/>
          <w:color w:val="373737"/>
          <w:szCs w:val="28"/>
          <w:bdr w:val="none" w:sz="0" w:space="0" w:color="auto" w:frame="1"/>
        </w:rPr>
        <w:t>1. Индивидуальные методы</w:t>
      </w:r>
    </w:p>
    <w:p w:rsidR="00F85A97" w:rsidRPr="00D56786" w:rsidRDefault="00F85A97" w:rsidP="00F85A97">
      <w:pPr>
        <w:numPr>
          <w:ilvl w:val="0"/>
          <w:numId w:val="2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Метод составления сценариев;</w:t>
      </w:r>
    </w:p>
    <w:p w:rsidR="00F85A97" w:rsidRPr="00D56786" w:rsidRDefault="00F85A97" w:rsidP="00F85A97">
      <w:pPr>
        <w:numPr>
          <w:ilvl w:val="0"/>
          <w:numId w:val="2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Метод «интервью»;</w:t>
      </w:r>
    </w:p>
    <w:p w:rsidR="00F85A97" w:rsidRPr="00D56786" w:rsidRDefault="00F85A97" w:rsidP="00F85A97">
      <w:pPr>
        <w:numPr>
          <w:ilvl w:val="0"/>
          <w:numId w:val="2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Метод аналитических докладных записок.</w:t>
      </w:r>
    </w:p>
    <w:p w:rsidR="00F85A97" w:rsidRPr="00D56786" w:rsidRDefault="00F85A97" w:rsidP="00F85A97">
      <w:pPr>
        <w:spacing w:line="276" w:lineRule="auto"/>
        <w:rPr>
          <w:color w:val="373737"/>
          <w:szCs w:val="28"/>
        </w:rPr>
      </w:pPr>
      <w:r w:rsidRPr="00D56786">
        <w:rPr>
          <w:rStyle w:val="a3"/>
          <w:color w:val="373737"/>
          <w:szCs w:val="28"/>
          <w:bdr w:val="none" w:sz="0" w:space="0" w:color="auto" w:frame="1"/>
        </w:rPr>
        <w:t>2. Коллективные методы</w:t>
      </w:r>
    </w:p>
    <w:p w:rsidR="00F85A97" w:rsidRPr="00D56786" w:rsidRDefault="00F85A97" w:rsidP="00F85A97">
      <w:pPr>
        <w:numPr>
          <w:ilvl w:val="0"/>
          <w:numId w:val="3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Метод анкетных опросов;</w:t>
      </w:r>
    </w:p>
    <w:p w:rsidR="00F85A97" w:rsidRPr="00D56786" w:rsidRDefault="00F85A97" w:rsidP="00F85A97">
      <w:pPr>
        <w:numPr>
          <w:ilvl w:val="0"/>
          <w:numId w:val="3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Метод «комиссий»;</w:t>
      </w:r>
    </w:p>
    <w:p w:rsidR="00F85A97" w:rsidRPr="00D56786" w:rsidRDefault="00F85A97" w:rsidP="00F85A97">
      <w:pPr>
        <w:numPr>
          <w:ilvl w:val="0"/>
          <w:numId w:val="3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Метод «мозговых атак»;</w:t>
      </w:r>
    </w:p>
    <w:p w:rsidR="00F85A97" w:rsidRPr="00D56786" w:rsidRDefault="00F85A97" w:rsidP="00F85A97">
      <w:pPr>
        <w:numPr>
          <w:ilvl w:val="0"/>
          <w:numId w:val="3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Метод «</w:t>
      </w:r>
      <w:proofErr w:type="spellStart"/>
      <w:r w:rsidRPr="00D56786">
        <w:rPr>
          <w:color w:val="373737"/>
          <w:szCs w:val="28"/>
        </w:rPr>
        <w:t>Дельфи</w:t>
      </w:r>
      <w:proofErr w:type="spellEnd"/>
      <w:r w:rsidRPr="00D56786">
        <w:rPr>
          <w:color w:val="373737"/>
          <w:szCs w:val="28"/>
        </w:rPr>
        <w:t>».</w:t>
      </w:r>
    </w:p>
    <w:p w:rsidR="00F85A97" w:rsidRPr="00D56786" w:rsidRDefault="00F85A97" w:rsidP="00F85A97">
      <w:pPr>
        <w:pStyle w:val="3"/>
      </w:pPr>
      <w:bookmarkStart w:id="5" w:name="_Toc468117033"/>
      <w:r w:rsidRPr="00D56786">
        <w:rPr>
          <w:bdr w:val="none" w:sz="0" w:space="0" w:color="auto" w:frame="1"/>
        </w:rPr>
        <w:t>Прогнозирование продаж</w:t>
      </w:r>
      <w:bookmarkEnd w:id="5"/>
    </w:p>
    <w:p w:rsidR="00F85A97" w:rsidRDefault="00F85A97" w:rsidP="00F85A97">
      <w:pPr>
        <w:numPr>
          <w:ilvl w:val="0"/>
          <w:numId w:val="4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Определение трен</w:t>
      </w:r>
      <w:r>
        <w:rPr>
          <w:color w:val="373737"/>
          <w:szCs w:val="28"/>
        </w:rPr>
        <w:t>да (тенденции роста/падения)</w:t>
      </w:r>
    </w:p>
    <w:p w:rsidR="00F85A97" w:rsidRDefault="00F85A97" w:rsidP="00F85A97">
      <w:pPr>
        <w:numPr>
          <w:ilvl w:val="0"/>
          <w:numId w:val="4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Оценка влияния стратегии</w:t>
      </w:r>
      <w:r>
        <w:rPr>
          <w:color w:val="373737"/>
          <w:szCs w:val="28"/>
        </w:rPr>
        <w:t xml:space="preserve"> компании на развитие тренда</w:t>
      </w:r>
    </w:p>
    <w:p w:rsidR="00F85A97" w:rsidRDefault="00F85A97" w:rsidP="00F85A97">
      <w:pPr>
        <w:numPr>
          <w:ilvl w:val="0"/>
          <w:numId w:val="4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Примене</w:t>
      </w:r>
      <w:r>
        <w:rPr>
          <w:color w:val="373737"/>
          <w:szCs w:val="28"/>
        </w:rPr>
        <w:t>ние коэффициентов сезонности</w:t>
      </w:r>
    </w:p>
    <w:p w:rsidR="00F85A97" w:rsidRDefault="00F85A97" w:rsidP="00F85A97">
      <w:pPr>
        <w:numPr>
          <w:ilvl w:val="0"/>
          <w:numId w:val="4"/>
        </w:numPr>
        <w:spacing w:after="0" w:line="276" w:lineRule="auto"/>
        <w:rPr>
          <w:color w:val="373737"/>
          <w:szCs w:val="28"/>
        </w:rPr>
      </w:pPr>
      <w:r w:rsidRPr="00D56786">
        <w:rPr>
          <w:color w:val="373737"/>
          <w:szCs w:val="28"/>
        </w:rPr>
        <w:t>Построение прогноза продаж</w:t>
      </w:r>
    </w:p>
    <w:p w:rsidR="00EE6531" w:rsidRPr="00EE6531" w:rsidRDefault="00EE6531" w:rsidP="00EE6531">
      <w:pPr>
        <w:spacing w:after="0" w:line="276" w:lineRule="auto"/>
        <w:rPr>
          <w:color w:val="373737"/>
          <w:szCs w:val="28"/>
        </w:rPr>
      </w:pPr>
    </w:p>
    <w:p w:rsidR="00F85A97" w:rsidRPr="00EE6531" w:rsidRDefault="00F85A97" w:rsidP="00EE6531">
      <w:pPr>
        <w:spacing w:line="276" w:lineRule="auto"/>
        <w:rPr>
          <w:color w:val="373737"/>
          <w:szCs w:val="28"/>
        </w:rPr>
      </w:pPr>
      <w:r w:rsidRPr="00D56786">
        <w:rPr>
          <w:rStyle w:val="a3"/>
          <w:color w:val="373737"/>
          <w:szCs w:val="28"/>
          <w:bdr w:val="none" w:sz="0" w:space="0" w:color="auto" w:frame="1"/>
        </w:rPr>
        <w:t>Качественные методы прогнозирования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 xml:space="preserve">– субъективны, основаны на мнении и суждении потребителей, экспертов. Качественные методы подходят тогда, когда отсутствуют исторические данные. Данные методы применяются, как правило, для среднесрочных и долгосрочных решений. Примерами качественных методов прогнозирования являются исследование рынка, метод </w:t>
      </w:r>
      <w:proofErr w:type="spellStart"/>
      <w:r w:rsidRPr="00D56786">
        <w:rPr>
          <w:color w:val="373737"/>
          <w:szCs w:val="28"/>
        </w:rPr>
        <w:t>Делфи</w:t>
      </w:r>
      <w:proofErr w:type="spellEnd"/>
      <w:r w:rsidRPr="00D56786">
        <w:rPr>
          <w:color w:val="373737"/>
          <w:szCs w:val="28"/>
        </w:rPr>
        <w:t>, историческая аналогия жизненного цикла и т.д.</w:t>
      </w:r>
      <w:r w:rsidRPr="00D56786">
        <w:rPr>
          <w:color w:val="373737"/>
          <w:szCs w:val="28"/>
        </w:rPr>
        <w:br/>
      </w:r>
      <w:r w:rsidRPr="00D56786">
        <w:rPr>
          <w:rStyle w:val="a3"/>
          <w:color w:val="373737"/>
          <w:szCs w:val="28"/>
          <w:bdr w:val="none" w:sz="0" w:space="0" w:color="auto" w:frame="1"/>
        </w:rPr>
        <w:t>Количественные модели прогнозирования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 xml:space="preserve">используются для прогнозирования будущих данных в виде функции от исторических данных. Они подходят для использования, когда исторические числовые данные доступны и когда ожидается сохранение динамики данных в будущем. Эти методы, как правило, применяются для краткосрочного и среднесрочного прогнозирования. Примерами количественных методов </w:t>
      </w:r>
      <w:r w:rsidRPr="00D56786">
        <w:rPr>
          <w:color w:val="373737"/>
          <w:szCs w:val="28"/>
        </w:rPr>
        <w:lastRenderedPageBreak/>
        <w:t>прогнозирования являются: скользящие средние, экспоненциальное сглаживание, мультипликативные сезонные индексы и т.д.</w:t>
      </w:r>
    </w:p>
    <w:p w:rsidR="00F85A97" w:rsidRDefault="00F85A97" w:rsidP="00EE6531">
      <w:pPr>
        <w:pStyle w:val="3"/>
        <w:rPr>
          <w:lang w:val="en-US"/>
        </w:rPr>
      </w:pPr>
      <w:r>
        <w:t>Категории методов прогнозирования</w:t>
      </w:r>
      <w:r>
        <w:rPr>
          <w:lang w:val="en-US"/>
        </w:rPr>
        <w:t>:</w:t>
      </w:r>
    </w:p>
    <w:p w:rsidR="00F85A97" w:rsidRDefault="00F85A97" w:rsidP="00F85A97">
      <w:pPr>
        <w:pStyle w:val="a4"/>
        <w:numPr>
          <w:ilvl w:val="0"/>
          <w:numId w:val="6"/>
        </w:numPr>
      </w:pPr>
      <w:r>
        <w:t>Метод средних</w:t>
      </w:r>
    </w:p>
    <w:p w:rsidR="00F85A97" w:rsidRDefault="00F85A97" w:rsidP="00F85A97">
      <w:pPr>
        <w:pStyle w:val="a4"/>
        <w:numPr>
          <w:ilvl w:val="0"/>
          <w:numId w:val="6"/>
        </w:numPr>
      </w:pPr>
      <w:r>
        <w:t>Наивный подход</w:t>
      </w:r>
    </w:p>
    <w:p w:rsidR="00F85A97" w:rsidRDefault="00F85A97" w:rsidP="00F85A97">
      <w:pPr>
        <w:pStyle w:val="a4"/>
        <w:numPr>
          <w:ilvl w:val="0"/>
          <w:numId w:val="6"/>
        </w:numPr>
      </w:pPr>
      <w:r>
        <w:t>Метод скользящих средних</w:t>
      </w:r>
    </w:p>
    <w:p w:rsidR="00F85A97" w:rsidRDefault="00F85A97" w:rsidP="00F85A97">
      <w:pPr>
        <w:pStyle w:val="a4"/>
        <w:numPr>
          <w:ilvl w:val="0"/>
          <w:numId w:val="6"/>
        </w:numPr>
      </w:pPr>
      <w:r>
        <w:t>Сезонный наивный подход</w:t>
      </w:r>
    </w:p>
    <w:p w:rsidR="00F85A97" w:rsidRDefault="00F85A97" w:rsidP="00F85A97">
      <w:pPr>
        <w:pStyle w:val="a4"/>
        <w:numPr>
          <w:ilvl w:val="0"/>
          <w:numId w:val="6"/>
        </w:numPr>
      </w:pPr>
      <w:r>
        <w:t>Методы временных рядов</w:t>
      </w:r>
    </w:p>
    <w:p w:rsidR="00F85A97" w:rsidRDefault="00F85A97" w:rsidP="00F85A97">
      <w:pPr>
        <w:pStyle w:val="a4"/>
        <w:numPr>
          <w:ilvl w:val="0"/>
          <w:numId w:val="6"/>
        </w:numPr>
      </w:pPr>
      <w:r>
        <w:t xml:space="preserve">Причинно-следственные методы </w:t>
      </w:r>
    </w:p>
    <w:p w:rsidR="00F85A97" w:rsidRDefault="00F85A97" w:rsidP="00F85A97">
      <w:pPr>
        <w:pStyle w:val="a4"/>
        <w:numPr>
          <w:ilvl w:val="0"/>
          <w:numId w:val="6"/>
        </w:numPr>
      </w:pPr>
      <w:r>
        <w:t>Методы экспертных оценок</w:t>
      </w:r>
    </w:p>
    <w:p w:rsidR="00F85A97" w:rsidRDefault="00F85A97" w:rsidP="00F85A97">
      <w:pPr>
        <w:pStyle w:val="a4"/>
        <w:numPr>
          <w:ilvl w:val="0"/>
          <w:numId w:val="6"/>
        </w:numPr>
      </w:pPr>
      <w:r>
        <w:t>Методы искусственного интеллекта</w:t>
      </w:r>
    </w:p>
    <w:p w:rsidR="00F85A97" w:rsidRDefault="00F85A97" w:rsidP="00EE6531">
      <w:pPr>
        <w:pStyle w:val="3"/>
      </w:pPr>
      <w:r>
        <w:t>Поговорим о точности прогнозирования.</w:t>
      </w:r>
    </w:p>
    <w:p w:rsidR="00F85A97" w:rsidRPr="00D56786" w:rsidRDefault="00F85A97" w:rsidP="00F85A97">
      <w:pPr>
        <w:numPr>
          <w:ilvl w:val="0"/>
          <w:numId w:val="8"/>
        </w:numPr>
        <w:spacing w:after="0" w:line="276" w:lineRule="auto"/>
        <w:rPr>
          <w:color w:val="373737"/>
          <w:szCs w:val="28"/>
          <w:lang w:val="en-US"/>
        </w:rPr>
      </w:pPr>
      <w:r w:rsidRPr="00D56786">
        <w:rPr>
          <w:rStyle w:val="a3"/>
          <w:color w:val="373737"/>
          <w:szCs w:val="28"/>
          <w:bdr w:val="none" w:sz="0" w:space="0" w:color="auto" w:frame="1"/>
          <w:lang w:val="en-US"/>
        </w:rPr>
        <w:t>Mean absolute error (MAE)</w:t>
      </w:r>
      <w:r w:rsidRPr="00D56786">
        <w:rPr>
          <w:rStyle w:val="apple-converted-space"/>
          <w:color w:val="373737"/>
          <w:szCs w:val="28"/>
          <w:lang w:val="en-US"/>
        </w:rPr>
        <w:t> </w:t>
      </w:r>
      <w:r w:rsidRPr="00D56786">
        <w:rPr>
          <w:color w:val="373737"/>
          <w:szCs w:val="28"/>
          <w:lang w:val="en-US"/>
        </w:rPr>
        <w:t xml:space="preserve">– </w:t>
      </w:r>
      <w:r w:rsidRPr="00D56786">
        <w:rPr>
          <w:color w:val="373737"/>
          <w:szCs w:val="28"/>
        </w:rPr>
        <w:t>Средняя</w:t>
      </w:r>
      <w:r w:rsidRPr="00D56786">
        <w:rPr>
          <w:color w:val="373737"/>
          <w:szCs w:val="28"/>
          <w:lang w:val="en-US"/>
        </w:rPr>
        <w:t xml:space="preserve"> </w:t>
      </w:r>
      <w:r w:rsidRPr="00D56786">
        <w:rPr>
          <w:color w:val="373737"/>
          <w:szCs w:val="28"/>
        </w:rPr>
        <w:t>абсолютная</w:t>
      </w:r>
      <w:r w:rsidRPr="00D56786">
        <w:rPr>
          <w:color w:val="373737"/>
          <w:szCs w:val="28"/>
          <w:lang w:val="en-US"/>
        </w:rPr>
        <w:t xml:space="preserve"> </w:t>
      </w:r>
      <w:r w:rsidRPr="00D56786">
        <w:rPr>
          <w:color w:val="373737"/>
          <w:szCs w:val="28"/>
        </w:rPr>
        <w:t>ошибка</w:t>
      </w:r>
    </w:p>
    <w:p w:rsidR="00F85A97" w:rsidRPr="00D56786" w:rsidRDefault="00F85A97" w:rsidP="00F85A97">
      <w:pPr>
        <w:numPr>
          <w:ilvl w:val="0"/>
          <w:numId w:val="8"/>
        </w:numPr>
        <w:spacing w:after="0" w:line="276" w:lineRule="auto"/>
        <w:rPr>
          <w:color w:val="373737"/>
          <w:szCs w:val="28"/>
          <w:lang w:val="en-US"/>
        </w:rPr>
      </w:pPr>
      <w:r w:rsidRPr="00D56786">
        <w:rPr>
          <w:rStyle w:val="a3"/>
          <w:color w:val="373737"/>
          <w:szCs w:val="28"/>
          <w:bdr w:val="none" w:sz="0" w:space="0" w:color="auto" w:frame="1"/>
          <w:lang w:val="en-US"/>
        </w:rPr>
        <w:t>Mean Absolute Percentage Error (MAPE)</w:t>
      </w:r>
      <w:r w:rsidRPr="00D56786">
        <w:rPr>
          <w:rStyle w:val="apple-converted-space"/>
          <w:color w:val="373737"/>
          <w:szCs w:val="28"/>
          <w:lang w:val="en-US"/>
        </w:rPr>
        <w:t> </w:t>
      </w:r>
      <w:r w:rsidRPr="00D56786">
        <w:rPr>
          <w:color w:val="373737"/>
          <w:szCs w:val="28"/>
          <w:lang w:val="en-US"/>
        </w:rPr>
        <w:t xml:space="preserve">– </w:t>
      </w:r>
      <w:r w:rsidRPr="00D56786">
        <w:rPr>
          <w:color w:val="373737"/>
          <w:szCs w:val="28"/>
        </w:rPr>
        <w:t>Средняя</w:t>
      </w:r>
      <w:r w:rsidRPr="00D56786">
        <w:rPr>
          <w:color w:val="373737"/>
          <w:szCs w:val="28"/>
          <w:lang w:val="en-US"/>
        </w:rPr>
        <w:t xml:space="preserve"> </w:t>
      </w:r>
      <w:r>
        <w:rPr>
          <w:color w:val="373737"/>
          <w:szCs w:val="28"/>
        </w:rPr>
        <w:t>а</w:t>
      </w:r>
      <w:r w:rsidRPr="00D56786">
        <w:rPr>
          <w:color w:val="373737"/>
          <w:szCs w:val="28"/>
        </w:rPr>
        <w:t>бсолютная</w:t>
      </w:r>
      <w:r w:rsidRPr="00D56786">
        <w:rPr>
          <w:color w:val="373737"/>
          <w:szCs w:val="28"/>
          <w:lang w:val="en-US"/>
        </w:rPr>
        <w:t xml:space="preserve"> </w:t>
      </w:r>
      <w:r w:rsidRPr="00D56786">
        <w:rPr>
          <w:color w:val="373737"/>
          <w:szCs w:val="28"/>
        </w:rPr>
        <w:t>процентная</w:t>
      </w:r>
      <w:r w:rsidRPr="00D56786">
        <w:rPr>
          <w:color w:val="373737"/>
          <w:szCs w:val="28"/>
          <w:lang w:val="en-US"/>
        </w:rPr>
        <w:t xml:space="preserve"> </w:t>
      </w:r>
      <w:r w:rsidRPr="00D56786">
        <w:rPr>
          <w:color w:val="373737"/>
          <w:szCs w:val="28"/>
        </w:rPr>
        <w:t>ошибка</w:t>
      </w:r>
    </w:p>
    <w:p w:rsidR="00F85A97" w:rsidRPr="00D56786" w:rsidRDefault="00F85A97" w:rsidP="00F85A97">
      <w:pPr>
        <w:numPr>
          <w:ilvl w:val="0"/>
          <w:numId w:val="8"/>
        </w:numPr>
        <w:spacing w:after="0" w:line="276" w:lineRule="auto"/>
        <w:rPr>
          <w:color w:val="373737"/>
          <w:szCs w:val="28"/>
        </w:rPr>
      </w:pP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Mean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Absolute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Deviation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(MAD)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Среднее абсолютное отклонение</w:t>
      </w:r>
    </w:p>
    <w:p w:rsidR="00F85A97" w:rsidRPr="00D56786" w:rsidRDefault="00F85A97" w:rsidP="00F85A97">
      <w:pPr>
        <w:numPr>
          <w:ilvl w:val="0"/>
          <w:numId w:val="8"/>
        </w:numPr>
        <w:spacing w:after="0" w:line="276" w:lineRule="auto"/>
        <w:rPr>
          <w:color w:val="373737"/>
          <w:szCs w:val="28"/>
        </w:rPr>
      </w:pP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Percent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Mean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Absolute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Deviation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(PMAD)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Процент среднего абсолютного отклонения</w:t>
      </w:r>
    </w:p>
    <w:p w:rsidR="00F85A97" w:rsidRPr="00D56786" w:rsidRDefault="00F85A97" w:rsidP="00F85A97">
      <w:pPr>
        <w:numPr>
          <w:ilvl w:val="0"/>
          <w:numId w:val="8"/>
        </w:numPr>
        <w:spacing w:after="0" w:line="276" w:lineRule="auto"/>
        <w:rPr>
          <w:color w:val="373737"/>
          <w:szCs w:val="28"/>
        </w:rPr>
      </w:pP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Mean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squared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error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(MSE)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Средняя квадратичная ошибка</w:t>
      </w:r>
    </w:p>
    <w:p w:rsidR="00F85A97" w:rsidRPr="00D56786" w:rsidRDefault="00F85A97" w:rsidP="00F85A97">
      <w:pPr>
        <w:numPr>
          <w:ilvl w:val="0"/>
          <w:numId w:val="8"/>
        </w:numPr>
        <w:spacing w:after="0" w:line="276" w:lineRule="auto"/>
        <w:rPr>
          <w:color w:val="373737"/>
          <w:szCs w:val="28"/>
          <w:lang w:val="en-US"/>
        </w:rPr>
      </w:pPr>
      <w:r w:rsidRPr="00D56786">
        <w:rPr>
          <w:rStyle w:val="a3"/>
          <w:color w:val="373737"/>
          <w:szCs w:val="28"/>
          <w:bdr w:val="none" w:sz="0" w:space="0" w:color="auto" w:frame="1"/>
          <w:lang w:val="en-US"/>
        </w:rPr>
        <w:t>Mean squared prediction error (MSPE)</w:t>
      </w:r>
      <w:r w:rsidRPr="00D56786">
        <w:rPr>
          <w:rStyle w:val="apple-converted-space"/>
          <w:color w:val="373737"/>
          <w:szCs w:val="28"/>
          <w:lang w:val="en-US"/>
        </w:rPr>
        <w:t> </w:t>
      </w:r>
      <w:r w:rsidRPr="00D56786">
        <w:rPr>
          <w:color w:val="373737"/>
          <w:szCs w:val="28"/>
          <w:lang w:val="en-US"/>
        </w:rPr>
        <w:t xml:space="preserve">– </w:t>
      </w:r>
      <w:r w:rsidRPr="00D56786">
        <w:rPr>
          <w:color w:val="373737"/>
          <w:szCs w:val="28"/>
        </w:rPr>
        <w:t>средняя</w:t>
      </w:r>
      <w:r w:rsidRPr="00D56786">
        <w:rPr>
          <w:color w:val="373737"/>
          <w:szCs w:val="28"/>
          <w:lang w:val="en-US"/>
        </w:rPr>
        <w:t xml:space="preserve"> </w:t>
      </w:r>
      <w:r w:rsidRPr="00D56786">
        <w:rPr>
          <w:color w:val="373737"/>
          <w:szCs w:val="28"/>
        </w:rPr>
        <w:t>квадратичная</w:t>
      </w:r>
      <w:r w:rsidRPr="00D56786">
        <w:rPr>
          <w:color w:val="373737"/>
          <w:szCs w:val="28"/>
          <w:lang w:val="en-US"/>
        </w:rPr>
        <w:t xml:space="preserve"> </w:t>
      </w:r>
      <w:r w:rsidRPr="00D56786">
        <w:rPr>
          <w:color w:val="373737"/>
          <w:szCs w:val="28"/>
        </w:rPr>
        <w:t>ошибка</w:t>
      </w:r>
      <w:r w:rsidRPr="00D56786">
        <w:rPr>
          <w:color w:val="373737"/>
          <w:szCs w:val="28"/>
          <w:lang w:val="en-US"/>
        </w:rPr>
        <w:t xml:space="preserve"> </w:t>
      </w:r>
      <w:r w:rsidRPr="00D56786">
        <w:rPr>
          <w:color w:val="373737"/>
          <w:szCs w:val="28"/>
        </w:rPr>
        <w:t>прогноза</w:t>
      </w:r>
    </w:p>
    <w:p w:rsidR="00F85A97" w:rsidRPr="00D56786" w:rsidRDefault="00F85A97" w:rsidP="00F85A97">
      <w:pPr>
        <w:numPr>
          <w:ilvl w:val="0"/>
          <w:numId w:val="8"/>
        </w:numPr>
        <w:spacing w:after="0" w:line="276" w:lineRule="auto"/>
        <w:rPr>
          <w:color w:val="373737"/>
          <w:szCs w:val="28"/>
        </w:rPr>
      </w:pP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Root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Mean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squared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error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(RMSE)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Средняя квадратическая ошибка</w:t>
      </w:r>
    </w:p>
    <w:p w:rsidR="00F85A97" w:rsidRPr="00D56786" w:rsidRDefault="00F85A97" w:rsidP="00F85A97">
      <w:pPr>
        <w:numPr>
          <w:ilvl w:val="0"/>
          <w:numId w:val="8"/>
        </w:numPr>
        <w:spacing w:after="0" w:line="276" w:lineRule="auto"/>
        <w:rPr>
          <w:color w:val="373737"/>
          <w:szCs w:val="28"/>
        </w:rPr>
      </w:pP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Forecast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skill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(SS)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Прогноз компетенций</w:t>
      </w:r>
    </w:p>
    <w:p w:rsidR="00EE6531" w:rsidRPr="00EE6531" w:rsidRDefault="00F85A97" w:rsidP="00EE6531">
      <w:pPr>
        <w:numPr>
          <w:ilvl w:val="0"/>
          <w:numId w:val="8"/>
        </w:numPr>
        <w:spacing w:after="0" w:line="276" w:lineRule="auto"/>
        <w:rPr>
          <w:color w:val="373737"/>
          <w:szCs w:val="28"/>
        </w:rPr>
      </w:pP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Average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of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</w:t>
      </w:r>
      <w:proofErr w:type="spellStart"/>
      <w:r w:rsidRPr="00D56786">
        <w:rPr>
          <w:rStyle w:val="a3"/>
          <w:color w:val="373737"/>
          <w:szCs w:val="28"/>
          <w:bdr w:val="none" w:sz="0" w:space="0" w:color="auto" w:frame="1"/>
        </w:rPr>
        <w:t>Errors</w:t>
      </w:r>
      <w:proofErr w:type="spellEnd"/>
      <w:r w:rsidRPr="00D56786">
        <w:rPr>
          <w:rStyle w:val="a3"/>
          <w:color w:val="373737"/>
          <w:szCs w:val="28"/>
          <w:bdr w:val="none" w:sz="0" w:space="0" w:color="auto" w:frame="1"/>
        </w:rPr>
        <w:t xml:space="preserve"> (E)</w:t>
      </w:r>
      <w:r w:rsidRPr="00D56786">
        <w:rPr>
          <w:rStyle w:val="apple-converted-space"/>
          <w:color w:val="373737"/>
          <w:szCs w:val="28"/>
        </w:rPr>
        <w:t> </w:t>
      </w:r>
      <w:r w:rsidRPr="00D56786">
        <w:rPr>
          <w:color w:val="373737"/>
          <w:szCs w:val="28"/>
        </w:rPr>
        <w:t>– Среднее значение всех ошибок</w:t>
      </w:r>
    </w:p>
    <w:p w:rsidR="00F85A97" w:rsidRDefault="00915FE7" w:rsidP="00EE6531">
      <w:pPr>
        <w:pStyle w:val="3"/>
      </w:pPr>
      <w:r>
        <w:t>Подробная классификация нейронных сетей.</w:t>
      </w:r>
    </w:p>
    <w:p w:rsidR="00915FE7" w:rsidRDefault="00915FE7" w:rsidP="00F85A97">
      <w:r>
        <w:t>Модель сети</w:t>
      </w:r>
    </w:p>
    <w:p w:rsidR="00915FE7" w:rsidRDefault="00915FE7" w:rsidP="00915FE7">
      <w:pPr>
        <w:pStyle w:val="a4"/>
        <w:numPr>
          <w:ilvl w:val="0"/>
          <w:numId w:val="9"/>
        </w:numPr>
      </w:pPr>
      <w:proofErr w:type="spellStart"/>
      <w:r>
        <w:t>Полносвязанные</w:t>
      </w:r>
      <w:proofErr w:type="spellEnd"/>
    </w:p>
    <w:p w:rsidR="00915FE7" w:rsidRDefault="00915FE7" w:rsidP="00915FE7">
      <w:pPr>
        <w:pStyle w:val="a4"/>
        <w:numPr>
          <w:ilvl w:val="0"/>
          <w:numId w:val="9"/>
        </w:numPr>
      </w:pPr>
      <w:proofErr w:type="spellStart"/>
      <w:r>
        <w:t>Неполносвязанные</w:t>
      </w:r>
      <w:proofErr w:type="spellEnd"/>
    </w:p>
    <w:p w:rsidR="00915FE7" w:rsidRDefault="00915FE7" w:rsidP="00915FE7">
      <w:r>
        <w:t>Тип сети</w:t>
      </w:r>
    </w:p>
    <w:p w:rsidR="00915FE7" w:rsidRDefault="00915FE7" w:rsidP="00915FE7">
      <w:pPr>
        <w:pStyle w:val="a4"/>
        <w:numPr>
          <w:ilvl w:val="0"/>
          <w:numId w:val="10"/>
        </w:numPr>
      </w:pPr>
      <w:r>
        <w:t>Монотонная</w:t>
      </w:r>
    </w:p>
    <w:p w:rsidR="00915FE7" w:rsidRDefault="00915FE7" w:rsidP="00915FE7">
      <w:pPr>
        <w:pStyle w:val="a4"/>
        <w:numPr>
          <w:ilvl w:val="0"/>
          <w:numId w:val="10"/>
        </w:numPr>
      </w:pPr>
      <w:r>
        <w:t>Сеть без обратной связи</w:t>
      </w:r>
    </w:p>
    <w:p w:rsidR="00915FE7" w:rsidRDefault="00915FE7" w:rsidP="00915FE7">
      <w:pPr>
        <w:pStyle w:val="a4"/>
        <w:numPr>
          <w:ilvl w:val="0"/>
          <w:numId w:val="10"/>
        </w:numPr>
      </w:pPr>
      <w:r>
        <w:t>Сеть с обратной связью</w:t>
      </w:r>
    </w:p>
    <w:p w:rsidR="00915FE7" w:rsidRDefault="00915FE7" w:rsidP="00915FE7">
      <w:pPr>
        <w:pStyle w:val="a4"/>
        <w:numPr>
          <w:ilvl w:val="1"/>
          <w:numId w:val="10"/>
        </w:numPr>
      </w:pPr>
      <w:r>
        <w:t>Слоисто-циклические</w:t>
      </w:r>
    </w:p>
    <w:p w:rsidR="00915FE7" w:rsidRDefault="00915FE7" w:rsidP="00915FE7">
      <w:pPr>
        <w:pStyle w:val="a4"/>
        <w:numPr>
          <w:ilvl w:val="1"/>
          <w:numId w:val="10"/>
        </w:numPr>
      </w:pPr>
      <w:r>
        <w:t>Слоисто-</w:t>
      </w:r>
      <w:proofErr w:type="spellStart"/>
      <w:r>
        <w:t>полносвязанные</w:t>
      </w:r>
      <w:proofErr w:type="spellEnd"/>
    </w:p>
    <w:p w:rsidR="00915FE7" w:rsidRDefault="00915FE7" w:rsidP="00915FE7">
      <w:pPr>
        <w:pStyle w:val="a4"/>
        <w:numPr>
          <w:ilvl w:val="1"/>
          <w:numId w:val="10"/>
        </w:numPr>
      </w:pPr>
      <w:proofErr w:type="spellStart"/>
      <w:r>
        <w:t>Полносвязанно</w:t>
      </w:r>
      <w:proofErr w:type="spellEnd"/>
      <w:r>
        <w:t>-слоистые</w:t>
      </w:r>
    </w:p>
    <w:p w:rsidR="00915FE7" w:rsidRDefault="00915FE7" w:rsidP="00915FE7">
      <w:r>
        <w:t>Тип структуры нейрона</w:t>
      </w:r>
    </w:p>
    <w:p w:rsidR="00915FE7" w:rsidRDefault="00915FE7" w:rsidP="00915FE7">
      <w:pPr>
        <w:pStyle w:val="a4"/>
        <w:numPr>
          <w:ilvl w:val="0"/>
          <w:numId w:val="11"/>
        </w:numPr>
      </w:pPr>
      <w:r>
        <w:t>Гомогенные</w:t>
      </w:r>
    </w:p>
    <w:p w:rsidR="00EE6531" w:rsidRDefault="00915FE7" w:rsidP="00EE6531">
      <w:pPr>
        <w:pStyle w:val="a4"/>
        <w:numPr>
          <w:ilvl w:val="0"/>
          <w:numId w:val="11"/>
        </w:numPr>
      </w:pPr>
      <w:r>
        <w:t>Гетерогенные</w:t>
      </w:r>
    </w:p>
    <w:p w:rsidR="00915FE7" w:rsidRDefault="00915FE7" w:rsidP="00EE6531">
      <w:pPr>
        <w:pStyle w:val="3"/>
      </w:pPr>
      <w:r>
        <w:t>ФУНКЦИИ АКТИВАЦИИ</w:t>
      </w:r>
    </w:p>
    <w:p w:rsidR="00915FE7" w:rsidRPr="00163636" w:rsidRDefault="00915FE7" w:rsidP="00915FE7">
      <w:pPr>
        <w:numPr>
          <w:ilvl w:val="0"/>
          <w:numId w:val="12"/>
        </w:numPr>
        <w:spacing w:after="0" w:line="276" w:lineRule="auto"/>
        <w:rPr>
          <w:color w:val="373737"/>
          <w:szCs w:val="28"/>
        </w:rPr>
      </w:pPr>
      <w:r>
        <w:t xml:space="preserve">Линейная передаточная функция. </w:t>
      </w:r>
    </w:p>
    <w:p w:rsidR="00915FE7" w:rsidRPr="00163636" w:rsidRDefault="00915FE7" w:rsidP="00915FE7">
      <w:pPr>
        <w:numPr>
          <w:ilvl w:val="0"/>
          <w:numId w:val="12"/>
        </w:numPr>
        <w:spacing w:after="0" w:line="276" w:lineRule="auto"/>
        <w:rPr>
          <w:color w:val="373737"/>
          <w:szCs w:val="28"/>
        </w:rPr>
      </w:pPr>
      <w:r>
        <w:t>Пороговая передаточная функция.</w:t>
      </w:r>
    </w:p>
    <w:p w:rsidR="00915FE7" w:rsidRPr="00163636" w:rsidRDefault="00915FE7" w:rsidP="00915FE7">
      <w:pPr>
        <w:numPr>
          <w:ilvl w:val="0"/>
          <w:numId w:val="12"/>
        </w:numPr>
        <w:spacing w:after="0" w:line="276" w:lineRule="auto"/>
        <w:rPr>
          <w:color w:val="373737"/>
          <w:szCs w:val="28"/>
        </w:rPr>
      </w:pPr>
      <w:r>
        <w:t xml:space="preserve">Сигмоидальная передаточная функция (логистическая функция, гиперболический тангенс и др.). </w:t>
      </w:r>
    </w:p>
    <w:p w:rsidR="00915FE7" w:rsidRPr="00163636" w:rsidRDefault="00915FE7" w:rsidP="00915FE7">
      <w:pPr>
        <w:numPr>
          <w:ilvl w:val="0"/>
          <w:numId w:val="12"/>
        </w:numPr>
        <w:spacing w:after="0" w:line="276" w:lineRule="auto"/>
        <w:rPr>
          <w:color w:val="373737"/>
          <w:szCs w:val="28"/>
        </w:rPr>
      </w:pPr>
      <w:r>
        <w:t xml:space="preserve">Радиально-базисная функция передачи. </w:t>
      </w:r>
    </w:p>
    <w:p w:rsidR="00915FE7" w:rsidRPr="00163636" w:rsidRDefault="00915FE7" w:rsidP="00915FE7">
      <w:pPr>
        <w:numPr>
          <w:ilvl w:val="0"/>
          <w:numId w:val="12"/>
        </w:numPr>
        <w:spacing w:after="0" w:line="276" w:lineRule="auto"/>
        <w:rPr>
          <w:color w:val="373737"/>
          <w:szCs w:val="28"/>
        </w:rPr>
      </w:pPr>
      <w:r>
        <w:t xml:space="preserve">Другие функции передачи. </w:t>
      </w:r>
    </w:p>
    <w:p w:rsidR="00915FE7" w:rsidRDefault="00915FE7" w:rsidP="00915FE7"/>
    <w:p w:rsidR="00EE6531" w:rsidRDefault="00EE6531" w:rsidP="00915FE7"/>
    <w:p w:rsidR="00EE6531" w:rsidRDefault="00EE6531" w:rsidP="00915FE7"/>
    <w:p w:rsidR="00EE6531" w:rsidRDefault="00EE6531" w:rsidP="00915FE7"/>
    <w:p w:rsidR="00915FE7" w:rsidRDefault="00915FE7" w:rsidP="00EE6531">
      <w:pPr>
        <w:pStyle w:val="3"/>
      </w:pPr>
      <w:r>
        <w:lastRenderedPageBreak/>
        <w:t>По классу синхронности</w:t>
      </w:r>
    </w:p>
    <w:p w:rsidR="00915FE7" w:rsidRDefault="00915FE7" w:rsidP="00915FE7">
      <w:pPr>
        <w:pStyle w:val="a4"/>
        <w:numPr>
          <w:ilvl w:val="0"/>
          <w:numId w:val="13"/>
        </w:numPr>
      </w:pPr>
      <w:r>
        <w:t>Синхронные</w:t>
      </w:r>
    </w:p>
    <w:p w:rsidR="00915FE7" w:rsidRDefault="00915FE7" w:rsidP="00915FE7">
      <w:pPr>
        <w:pStyle w:val="a4"/>
        <w:numPr>
          <w:ilvl w:val="0"/>
          <w:numId w:val="13"/>
        </w:numPr>
      </w:pPr>
      <w:r>
        <w:t>Асинхронные</w:t>
      </w:r>
    </w:p>
    <w:p w:rsidR="00915FE7" w:rsidRDefault="00915FE7" w:rsidP="00EE6531">
      <w:pPr>
        <w:pStyle w:val="3"/>
      </w:pPr>
      <w:r>
        <w:t>По характеру настройки синапсов</w:t>
      </w:r>
    </w:p>
    <w:p w:rsidR="00915FE7" w:rsidRDefault="00915FE7" w:rsidP="00915FE7">
      <w:pPr>
        <w:pStyle w:val="a4"/>
        <w:numPr>
          <w:ilvl w:val="0"/>
          <w:numId w:val="14"/>
        </w:numPr>
      </w:pPr>
      <w:r>
        <w:t>С фиксированными связями</w:t>
      </w:r>
    </w:p>
    <w:p w:rsidR="00915FE7" w:rsidRDefault="00915FE7" w:rsidP="00915FE7">
      <w:pPr>
        <w:pStyle w:val="a4"/>
        <w:numPr>
          <w:ilvl w:val="0"/>
          <w:numId w:val="14"/>
        </w:numPr>
      </w:pPr>
      <w:r>
        <w:t>С динамическими связями</w:t>
      </w:r>
    </w:p>
    <w:p w:rsidR="00915FE7" w:rsidRDefault="00915FE7" w:rsidP="00EE6531">
      <w:pPr>
        <w:pStyle w:val="3"/>
      </w:pPr>
      <w:r>
        <w:t>По типу обучения</w:t>
      </w:r>
    </w:p>
    <w:p w:rsidR="00915FE7" w:rsidRDefault="00915FE7" w:rsidP="00915FE7">
      <w:pPr>
        <w:pStyle w:val="a4"/>
        <w:numPr>
          <w:ilvl w:val="0"/>
          <w:numId w:val="15"/>
        </w:numPr>
      </w:pPr>
      <w:r>
        <w:t>С учителем</w:t>
      </w:r>
    </w:p>
    <w:p w:rsidR="00915FE7" w:rsidRDefault="00915FE7" w:rsidP="00915FE7">
      <w:pPr>
        <w:pStyle w:val="a4"/>
        <w:numPr>
          <w:ilvl w:val="0"/>
          <w:numId w:val="15"/>
        </w:numPr>
      </w:pPr>
      <w:r>
        <w:t>Без учителя</w:t>
      </w:r>
    </w:p>
    <w:p w:rsidR="00915FE7" w:rsidRDefault="00915FE7" w:rsidP="00915FE7">
      <w:pPr>
        <w:pStyle w:val="a4"/>
        <w:numPr>
          <w:ilvl w:val="0"/>
          <w:numId w:val="15"/>
        </w:numPr>
      </w:pPr>
      <w:r>
        <w:t>Смешанное обучение</w:t>
      </w:r>
    </w:p>
    <w:p w:rsidR="00915FE7" w:rsidRDefault="00915FE7" w:rsidP="00EE6531">
      <w:pPr>
        <w:pStyle w:val="3"/>
      </w:pPr>
      <w:r>
        <w:t>Алгоритмы обучения</w:t>
      </w:r>
    </w:p>
    <w:p w:rsidR="00915FE7" w:rsidRDefault="00915FE7" w:rsidP="00915FE7">
      <w:pPr>
        <w:pStyle w:val="a4"/>
        <w:numPr>
          <w:ilvl w:val="0"/>
          <w:numId w:val="16"/>
        </w:numPr>
      </w:pPr>
      <w:r>
        <w:t>По входам</w:t>
      </w:r>
    </w:p>
    <w:p w:rsidR="00915FE7" w:rsidRDefault="00915FE7" w:rsidP="00915FE7">
      <w:pPr>
        <w:pStyle w:val="a4"/>
        <w:numPr>
          <w:ilvl w:val="0"/>
          <w:numId w:val="16"/>
        </w:numPr>
      </w:pPr>
      <w:r>
        <w:t>По выходам</w:t>
      </w:r>
    </w:p>
    <w:p w:rsidR="00915FE7" w:rsidRDefault="00915FE7" w:rsidP="00EE6531">
      <w:pPr>
        <w:pStyle w:val="3"/>
      </w:pPr>
      <w:r>
        <w:t>Способы предъявления примеров</w:t>
      </w:r>
    </w:p>
    <w:p w:rsidR="00915FE7" w:rsidRDefault="00915FE7" w:rsidP="00915FE7">
      <w:pPr>
        <w:pStyle w:val="a4"/>
        <w:numPr>
          <w:ilvl w:val="0"/>
          <w:numId w:val="17"/>
        </w:numPr>
      </w:pPr>
      <w:r>
        <w:t>Предъявление одиночных примеров</w:t>
      </w:r>
    </w:p>
    <w:p w:rsidR="00915FE7" w:rsidRDefault="00915FE7" w:rsidP="00915FE7">
      <w:pPr>
        <w:pStyle w:val="a4"/>
        <w:numPr>
          <w:ilvl w:val="0"/>
          <w:numId w:val="17"/>
        </w:numPr>
      </w:pPr>
      <w:r>
        <w:t>Предъявление страницы примеров</w:t>
      </w:r>
    </w:p>
    <w:p w:rsidR="00915FE7" w:rsidRPr="00C01BC0" w:rsidRDefault="00915FE7" w:rsidP="00915FE7"/>
    <w:sectPr w:rsidR="00915FE7" w:rsidRPr="00C01BC0" w:rsidSect="00F85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FB4"/>
    <w:multiLevelType w:val="hybridMultilevel"/>
    <w:tmpl w:val="49607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64BD1"/>
    <w:multiLevelType w:val="hybridMultilevel"/>
    <w:tmpl w:val="ACFE2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0540"/>
    <w:multiLevelType w:val="hybridMultilevel"/>
    <w:tmpl w:val="18140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4380"/>
    <w:multiLevelType w:val="hybridMultilevel"/>
    <w:tmpl w:val="B0DC7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D2BA0"/>
    <w:multiLevelType w:val="hybridMultilevel"/>
    <w:tmpl w:val="A1C6B3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A63478"/>
    <w:multiLevelType w:val="hybridMultilevel"/>
    <w:tmpl w:val="3B442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625FF"/>
    <w:multiLevelType w:val="hybridMultilevel"/>
    <w:tmpl w:val="E22C4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41FCB"/>
    <w:multiLevelType w:val="hybridMultilevel"/>
    <w:tmpl w:val="EEB65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E2718"/>
    <w:multiLevelType w:val="hybridMultilevel"/>
    <w:tmpl w:val="099C0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078DA"/>
    <w:multiLevelType w:val="hybridMultilevel"/>
    <w:tmpl w:val="08FE6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E7A17"/>
    <w:multiLevelType w:val="hybridMultilevel"/>
    <w:tmpl w:val="4A62E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11AA5"/>
    <w:multiLevelType w:val="hybridMultilevel"/>
    <w:tmpl w:val="B32072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F37E2B"/>
    <w:multiLevelType w:val="hybridMultilevel"/>
    <w:tmpl w:val="F43A1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8705D"/>
    <w:multiLevelType w:val="hybridMultilevel"/>
    <w:tmpl w:val="E5E29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E4B7D"/>
    <w:multiLevelType w:val="hybridMultilevel"/>
    <w:tmpl w:val="EEB65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80832"/>
    <w:multiLevelType w:val="hybridMultilevel"/>
    <w:tmpl w:val="1CE04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91491"/>
    <w:multiLevelType w:val="hybridMultilevel"/>
    <w:tmpl w:val="4DC26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14"/>
  </w:num>
  <w:num w:numId="11">
    <w:abstractNumId w:val="16"/>
  </w:num>
  <w:num w:numId="12">
    <w:abstractNumId w:val="11"/>
  </w:num>
  <w:num w:numId="13">
    <w:abstractNumId w:val="10"/>
  </w:num>
  <w:num w:numId="14">
    <w:abstractNumId w:val="1"/>
  </w:num>
  <w:num w:numId="15">
    <w:abstractNumId w:val="5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C0"/>
    <w:rsid w:val="004343DE"/>
    <w:rsid w:val="008B33F5"/>
    <w:rsid w:val="00915FE7"/>
    <w:rsid w:val="00C01BC0"/>
    <w:rsid w:val="00E22E5C"/>
    <w:rsid w:val="00EE6531"/>
    <w:rsid w:val="00F8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E0A3"/>
  <w15:chartTrackingRefBased/>
  <w15:docId w15:val="{D4D52720-03CC-465F-95D1-06C0C7AB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C01BC0"/>
    <w:pPr>
      <w:keepNext/>
      <w:spacing w:before="240" w:after="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85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E65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1BC0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apple-converted-space">
    <w:name w:val="apple-converted-space"/>
    <w:basedOn w:val="a0"/>
    <w:rsid w:val="00C01BC0"/>
  </w:style>
  <w:style w:type="character" w:styleId="a3">
    <w:name w:val="Strong"/>
    <w:uiPriority w:val="22"/>
    <w:qFormat/>
    <w:rsid w:val="00C01BC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85A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85A9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E653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2</cp:revision>
  <dcterms:created xsi:type="dcterms:W3CDTF">2016-12-01T09:30:00Z</dcterms:created>
  <dcterms:modified xsi:type="dcterms:W3CDTF">2016-12-01T10:56:00Z</dcterms:modified>
</cp:coreProperties>
</file>