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revisión_técnica_del_simulador_de_ae95eb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Revisión técnica del simulador de diseño de pasadas de laminación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Estado: revisión estática + pruebas ejecutadas (arnés Node y PyRolL, ver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pyroll_bridge/</w:t>
      </w:r>
      <w:r>
        <w:rPr>
          <w:rFonts w:eastAsia="source serif 4" w:cs="source serif 4" w:ascii="source serif 4" w:hAnsi="source serif 4"/>
          <w:color w:val="000000"/>
        </w:rPr>
        <w:t xml:space="preserve">).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Fecha: 2026-10-24. Alcance: los 13 archivos entregados (réplica 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simulador_original/</w:t>
      </w:r>
      <w:r>
        <w:rPr>
          <w:rFonts w:eastAsia="source serif 4" w:cs="source serif 4" w:ascii="source serif 4" w:hAnsi="source serif 4"/>
          <w:color w:val="000000"/>
        </w:rPr>
        <w:t xml:space="preserve">), leídos al 100%.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 simulador calcula la secuencia completa palanquilla → AH → BH → CV → C1…C21 → C26…C29 para perfiles finales de 5 a 26.5 mm, con geometría de canales paramétrica, JSON de configuración por perfil, rotación de 90° entre cajas y varios modelos de ensanchamiento conmutables (Shinokura, Ekelund, Zheng, Tafel-Sedlaczek, Koncevicz). Los archivos fuente no se han modificado: todos los ensayos se ejecutan sobre copias 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pyroll_bridge/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lo_que_está_bien_plantead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Lo que está bien planteado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Estructura del rectángulo equivalente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alturas medias </w:t>
      </w:r>
      <m:oMath>
        <m:acc>
          <m:accPr>
            <m:chr m:val="‾"/>
          </m:accPr>
          <m:e>
            <m:r>
              <m:rPr>
                <m:sty m:val="i"/>
              </m:rPr>
              <w:rPr>
                <w:color w:val="000000"/>
                <w:sz w:val="21"/>
              </w:rPr>
              <m:t>H</m:t>
            </m:r>
          </m:e>
        </m:acc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i"/>
          </m:rPr>
          <w:rPr>
            <w:color w:val="000000"/>
            <w:sz w:val="21"/>
          </w:rPr>
          <m:t>A</m:t>
        </m:r>
        <m:r>
          <m:rPr>
            <m:sty m:val="p"/>
          </m:rPr>
          <w:rPr>
            <w:color w:val="000000"/>
            <w:sz w:val="21"/>
          </w:rPr>
          <m:t>/</m:t>
        </m:r>
        <m:r>
          <m:rPr>
            <m:sty m:val="i"/>
          </m:rPr>
          <w:rPr>
            <w:color w:val="000000"/>
            <w:sz w:val="21"/>
          </w:rPr>
          <m:t>W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, radio efectivo, longitud de contacto </w:t>
      </w:r>
      <m:oMath>
        <m:rad>
          <m:radPr>
            <m:degHide m:val="1"/>
            <m:ctrlPr>
              <w:rPr>
                <w:rFonts w:ascii="Cambria Math" w:hAnsi="Cambria Math"/>
                <w:color w:val="000000"/>
                <w:sz w:val="21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color w:val="000000"/>
                    <w:sz w:val="21"/>
                  </w:rPr>
                </m:ctrlPr>
              </m:sSubPr>
              <m:e>
                <m:r>
                  <m:rPr>
                    <m:sty m:val="i"/>
                  </m:rPr>
                  <w:rPr>
                    <w:color w:val="000000"/>
                    <w:sz w:val="21"/>
                  </w:rPr>
                  <m:t>R</m:t>
                </m:r>
              </m:e>
              <m:sub>
                <m:r>
                  <m:rPr>
                    <m:sty m:val="i"/>
                  </m:rPr>
                  <w:rPr>
                    <w:color w:val="000000"/>
                    <w:sz w:val="21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21"/>
                  </w:rPr>
                  <m:t>f</m:t>
                </m:r>
                <m:r>
                  <m:rPr>
                    <m:sty m:val="i"/>
                  </m:rPr>
                  <w:rPr>
                    <w:color w:val="000000"/>
                    <w:sz w:val="21"/>
                  </w:rPr>
                  <m:t>f</m:t>
                </m:r>
              </m:sub>
            </m:sSub>
            <m:r>
              <m:rPr>
                <m:sty m:val="p"/>
              </m:rPr>
              <w:rPr>
                <w:color w:val="000000"/>
                <w:sz w:val="21"/>
              </w:rPr>
              <m:t xml:space="preserve"> </m:t>
            </m:r>
            <m:r>
              <m:rPr>
                <m:sty m:val="p"/>
              </m:rPr>
              <w:rPr>
                <w:color w:val="000000"/>
                <w:sz w:val="21"/>
              </w:rPr>
              <m:t>Δ</m:t>
            </m:r>
            <m:acc>
              <m:accPr>
                <m:chr m:val="‾"/>
              </m:accPr>
              <m:e>
                <m:r>
                  <m:rPr>
                    <m:sty m:val="i"/>
                  </m:rPr>
                  <w:rPr>
                    <w:color w:val="000000"/>
                    <w:sz w:val="21"/>
                  </w:rPr>
                  <m:t>H</m:t>
                </m:r>
              </m:e>
            </m:acc>
          </m:e>
        </m:rad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y área de calado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A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h</m:t>
            </m:r>
          </m:sub>
        </m:sSub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por integración numérica de </w:t>
      </w:r>
      <m:oMath>
        <m:r>
          <m:rPr>
            <m:sty m:val="i"/>
          </m:rPr>
          <w:rPr>
            <w:color w:val="000000"/>
            <w:sz w:val="21"/>
          </w:rPr>
          <m:t>d</m:t>
        </m:r>
        <m:r>
          <m:rPr>
            <m:sty m:val="i"/>
          </m:rPr>
          <w:rPr>
            <w:color w:val="000000"/>
            <w:sz w:val="21"/>
          </w:rPr>
          <m:t>h</m:t>
        </m:r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x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entre el perfil entrante y el contorno del canal. El espíritu de Lendl y Shinokura-Takai está correctamente planteado.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Separación de responsabilidades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geometría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cilindro.js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/ cálculo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calculo_laminación.js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/ configuración (JSON) / UI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lamina_4.js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detalle_canal.js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): mantenible.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Configuración por perfil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(variantes de canal, secuencias con salida en 27 o 29 cajas, luces por perfil 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config_luces_RS_resto.json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): refleja la práctica real de un tren de alambrón.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Varios modelos de ensanchamiento conmutables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útil para comparar.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hallazgos_ruta_activa_ekelun_1fbf7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Hallazgos (ruta activa: EkelundZheng2 en AH, Shinokura3 en el resto)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h1_shinokura3_no_es_sensible_a_la_4814a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H1 — Shinokura3 no es sensible a la luz (grave)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Por inspección del código, 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generarPerfilsalidahinokura3</w:t>
      </w:r>
      <w:r>
        <w:rPr>
          <w:rFonts w:eastAsia="source serif 4" w:cs="source serif 4" w:ascii="source serif 4" w:hAnsi="source serif 4"/>
          <w:color w:val="000000"/>
        </w:rPr>
        <w:t xml:space="preserve"> las fórmulas de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A</m:t>
            </m:r>
          </m:e>
          <m:sub>
            <m:r>
              <m:rPr>
                <m:sty m:val="i"/>
              </m:rPr>
              <w:rPr>
                <w:color w:val="000000"/>
              </w:rPr>
              <m:t>h</m:t>
            </m:r>
          </m:sub>
        </m:sSub>
      </m:oMath>
      <w:r>
        <w:rPr>
          <w:rFonts w:eastAsia="source serif 4" w:cs="source serif 4" w:ascii="source serif 4" w:hAnsi="source serif 4"/>
          <w:color w:val="000000"/>
        </w:rPr>
        <w:t xml:space="preserve">, </w:t>
      </w:r>
      <m:oMath>
        <m:r>
          <m:rPr>
            <m:sty m:val="i"/>
          </m:rPr>
          <w:rPr>
            <w:color w:val="000000"/>
          </w:rPr>
          <m:t>d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H</m:t>
            </m:r>
          </m:e>
          <m:sub>
            <m:r>
              <m:rPr>
                <m:sty m:val="i"/>
              </m:rPr>
              <w:rPr>
                <w:color w:val="000000"/>
              </w:rPr>
              <m:t>e</m:t>
            </m:r>
            <m:r>
              <m:rPr>
                <m:sty m:val="i"/>
              </m:rPr>
              <w:rPr>
                <w:color w:val="000000"/>
              </w:rPr>
              <m:t>q</m:t>
            </m:r>
          </m:sub>
        </m:sSub>
      </m:oMath>
      <w:r>
        <w:rPr>
          <w:rFonts w:eastAsia="source serif 4" w:cs="source serif 4" w:ascii="source serif 4" w:hAnsi="source serif 4"/>
          <w:color w:val="000000"/>
        </w:rPr>
        <w:t xml:space="preserve"> y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W</m:t>
            </m:r>
          </m:e>
          <m:sub>
            <m:r>
              <m:rPr>
                <m:sty m:val="p"/>
              </m:rPr>
              <w:rPr>
                <w:color w:val="000000"/>
              </w:rPr>
              <m:t>1</m:t>
            </m:r>
          </m:sub>
        </m:sSub>
      </m:oMath>
      <w:r>
        <w:rPr>
          <w:rFonts w:eastAsia="source serif 4" w:cs="source serif 4" w:ascii="source serif 4" w:hAnsi="source serif 4"/>
          <w:color w:val="000000"/>
        </w:rPr>
        <w:t xml:space="preserve"> dependen solo 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Y_c</w:t>
      </w:r>
      <w:r>
        <w:rPr>
          <w:rFonts w:eastAsia="source serif 4" w:cs="source serif 4" w:ascii="source serif 4" w:hAnsi="source serif 4"/>
          <w:color w:val="000000"/>
        </w:rPr>
        <w:t xml:space="preserve"> (canal </w:t>
      </w:r>
      <w:r>
        <w:rPr>
          <w:rFonts w:eastAsia="source serif 4" w:cs="source serif 4" w:ascii="source serif 4" w:hAnsi="source serif 4"/>
          <w:b/>
          <w:color w:val="000000"/>
        </w:rPr>
        <w:t xml:space="preserve">sin</w:t>
      </w:r>
      <w:r>
        <w:rPr>
          <w:rFonts w:eastAsia="source serif 4" w:cs="source serif 4" w:ascii="source serif 4" w:hAnsi="source serif 4"/>
          <w:color w:val="000000"/>
        </w:rPr>
        <w:t xml:space="preserve"> luz); la luz solo entra al final como traslación vertical de coordenadas. </w:t>
      </w:r>
      <w:r>
        <w:rPr>
          <w:rFonts w:eastAsia="source serif 4" w:cs="source serif 4" w:ascii="source serif 4" w:hAnsi="source serif 4"/>
          <w:b/>
          <w:color w:val="000000"/>
        </w:rPr>
        <w:t xml:space="preserve">Verificado ejecutando</w:t>
      </w:r>
      <w:r>
        <w:rPr>
          <w:rFonts w:eastAsia="source serif 4" w:cs="source serif 4" w:ascii="source serif 4" w:hAnsi="source serif 4"/>
          <w:color w:val="000000"/>
        </w:rPr>
        <w:t xml:space="preserve"> en un caso particular (sin recorte, entrada 10×20 en el canal C15): con luces 2, 5 y 10 la anchura predicha es idéntica (W = 10.0000 en las tres) mientras la altura sí cambia (18.38 / 21.40 / 26.40 = abertura). Este ensayo no demuestra insensibilidad general (podría estar en una rama de ensanchamiento nulo o limitado), pero coincide con la inspección del código: la dependencia del calibre no existe en la fórmula. Además usa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acc>
              <m:accPr>
                <m:chr m:val="‾"/>
              </m:accPr>
              <m:e>
                <m:r>
                  <m:rPr>
                    <m:sty m:val="i"/>
                  </m:rPr>
                  <w:rPr>
                    <w:color w:val="000000"/>
                  </w:rPr>
                  <m:t>H</m:t>
                </m:r>
              </m:e>
            </m:acc>
          </m:e>
          <m:sub>
            <m:r>
              <m:rPr>
                <m:sty m:val="p"/>
              </m:rPr>
              <w:rPr>
                <w:color w:val="000000"/>
              </w:rPr>
              <m:t>0</m:t>
            </m:r>
          </m:sub>
        </m:sSub>
        <m:r>
          <m:rPr>
            <m:sty m:val="p"/>
          </m:rPr>
          <w:rPr>
            <w:color w:val="000000"/>
          </w:rPr>
          <m:t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A</m:t>
            </m:r>
          </m:e>
          <m:sub>
            <m:r>
              <m:rPr>
                <m:sty m:val="p"/>
              </m:rPr>
              <w:rPr>
                <w:color w:val="000000"/>
              </w:rPr>
              <m:t>0</m:t>
            </m:r>
          </m:sub>
        </m:sSub>
        <m:r>
          <m:rPr>
            <m:sty m:val="p"/>
          </m:rPr>
          <w:rPr>
            <w:color w:val="000000"/>
          </w:rPr>
          <m:t>/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W</m:t>
            </m:r>
          </m:e>
          <m:sub>
            <m:r>
              <m:rPr>
                <m:sty m:val="p"/>
              </m:rPr>
              <w:rPr>
                <w:color w:val="000000"/>
              </w:rPr>
              <m:t>0</m:t>
            </m:r>
          </m:sub>
        </m:sSub>
      </m:oMath>
      <w:r>
        <w:rPr>
          <w:rFonts w:eastAsia="source serif 4" w:cs="source serif 4" w:ascii="source serif 4" w:hAnsi="source serif 4"/>
          <w:color w:val="000000"/>
        </w:rPr>
        <w:t xml:space="preserve"> en el denominador, donde el paper original usa la altura máxima de entrada. Ver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pyroll_bridge/js/</w:t>
      </w:r>
      <w:r>
        <w:rPr>
          <w:rFonts w:eastAsia="source serif 4" w:cs="source serif 4" w:ascii="source serif 4" w:hAnsi="source serif 4"/>
          <w:color w:val="000000"/>
        </w:rPr>
        <w:t xml:space="preserve"> (réplica del motor).</w:t>
      </w:r>
    </w:p>
    <w:p>
      <w:pPr>
        <w:spacing w:line="360" w:before="315" w:after="105" w:lineRule="auto"/>
        <w:ind w:left="-30"/>
        <w:jc w:val="left"/>
      </w:pPr>
      <w:bookmarkStart w:id="4" w:name="h2_la_rotación_no_conserva_la_sec_9f9b3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H2 — La rotación no conserva la sección (grave)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rotarSalidaAEntrada</w:t>
      </w:r>
      <w:r>
        <w:rPr>
          <w:rFonts w:eastAsia="source serif 4" w:cs="source serif 4" w:ascii="source serif 4" w:hAnsi="source serif 4"/>
          <w:color w:val="000000"/>
        </w:rPr>
        <w:t xml:space="preserve"> se resta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min_y</w:t>
      </w:r>
      <w:r>
        <w:rPr>
          <w:rFonts w:eastAsia="source serif 4" w:cs="source serif 4" w:ascii="source serif 4" w:hAnsi="source serif 4"/>
          <w:color w:val="000000"/>
        </w:rPr>
        <w:t xml:space="preserve"> (= luz/2 de la caja anterior) a todas las ordenadas. La anchura total de la sección rotada queda subestimada en </w:t>
      </w:r>
      <m:oMath>
        <m:r>
          <m:rPr>
            <m:sty m:val="p"/>
          </m:rPr>
          <w:rPr>
            <w:color w:val="000000"/>
          </w:rPr>
          <m:t>2</m:t>
        </m:r>
        <m:r>
          <m:rPr>
            <m:sty m:val="p"/>
          </m:rPr>
          <w:rPr>
            <w:color w:val="000000"/>
          </w:rPr>
          <m:t>⋅</m:t>
        </m:r>
        <m:r>
          <m:rPr>
            <m:sty m:val="i"/>
          </m:rPr>
          <w:rPr>
            <w:color w:val="000000"/>
          </w:rPr>
          <m:t>m</m:t>
        </m:r>
        <m:r>
          <m:rPr>
            <m:sty m:val="i"/>
          </m:rPr>
          <w:rPr>
            <w:color w:val="000000"/>
          </w:rPr>
          <m:t>i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n</m:t>
            </m:r>
          </m:e>
          <m:sub>
            <m:r>
              <m:rPr>
                <m:sty m:val="i"/>
              </m:rPr>
              <w:rPr>
                <w:color w:val="000000"/>
              </w:rPr>
              <m:t>y</m:t>
            </m:r>
          </m:sub>
        </m:sSub>
        <m:r>
          <m:rPr>
            <m:sty m:val="p"/>
          </m:rPr>
          <w:rPr>
            <w:color w:val="000000"/>
          </w:rPr>
          <m:t>=</m:t>
        </m:r>
        <m:r>
          <m:rPr>
            <m:sty m:val="i"/>
          </m:rPr>
          <w:rPr>
            <w:color w:val="000000"/>
          </w:rPr>
          <m:t>l</m:t>
        </m:r>
        <m:r>
          <m:rPr>
            <m:sty m:val="i"/>
          </m:rPr>
          <w:rPr>
            <w:color w:val="000000"/>
          </w:rPr>
          <m:t>u</m:t>
        </m:r>
        <m:r>
          <m:rPr>
            <m:sty m:val="i"/>
          </m:rPr>
          <w:rPr>
            <w:color w:val="000000"/>
          </w:rPr>
          <m:t>z</m:t>
        </m:r>
      </m:oMath>
      <w:r>
        <w:rPr>
          <w:rFonts w:eastAsia="source serif 4" w:cs="source serif 4" w:ascii="source serif 4" w:hAnsi="source serif 4"/>
          <w:color w:val="000000"/>
        </w:rPr>
        <w:t xml:space="preserve">. </w:t>
      </w:r>
      <w:r>
        <w:rPr>
          <w:rFonts w:eastAsia="source serif 4" w:cs="source serif 4" w:ascii="source serif 4" w:hAnsi="source serif 4"/>
          <w:b/>
          <w:color w:val="000000"/>
        </w:rPr>
        <w:t xml:space="preserve">Verificado ejecutando</w:t>
      </w:r>
      <w:r>
        <w:rPr>
          <w:rFonts w:eastAsia="source serif 4" w:cs="source serif 4" w:ascii="source serif 4" w:hAnsi="source serif 4"/>
          <w:color w:val="000000"/>
        </w:rPr>
        <w:t xml:space="preserve">: la salida de C1 (área 7118.6 mm²) llega a C2 como entrada de 6110.7 mm² (−14%) y con 70 mm de anchura en lugar de 80. Además el filtrado de duplicados puede colapsar aristas verticales del contorno. Una rotación debe conservar el área e intercambiar anchura por altura.</w:t>
      </w:r>
    </w:p>
    <w:p>
      <w:pPr>
        <w:spacing w:line="360" w:before="315" w:after="105" w:lineRule="auto"/>
        <w:ind w:left="-30"/>
        <w:jc w:val="left"/>
      </w:pPr>
      <w:bookmarkStart w:id="5" w:name="h3_el_sobrellenado_queda_enmascar_67674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H3 — El sobrellenado queda enmascarado (grave)</w:t>
      </w:r>
      <w:bookmarkEnd w:id="5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Math.min(half_W1, half_W_canal_max)</w:t>
      </w:r>
      <w:r>
        <w:rPr>
          <w:rFonts w:eastAsia="source serif 4" w:cs="source serif 4" w:ascii="source serif 4" w:hAnsi="source serif 4"/>
          <w:color w:val="000000"/>
        </w:rPr>
        <w:t xml:space="preserve"> recorta la anchura predicha al ancho del canal de forma silenciosa. Una caja sobrellenada aparece como una sección "válida". </w:t>
      </w:r>
      <w:r>
        <w:rPr>
          <w:rFonts w:eastAsia="source serif 4" w:cs="source serif 4" w:ascii="source serif 4" w:hAnsi="source serif 4"/>
          <w:b/>
          <w:color w:val="000000"/>
        </w:rPr>
        <w:t xml:space="preserve">Verificado con instrumentación</w:t>
      </w:r>
      <w:r>
        <w:rPr>
          <w:rFonts w:eastAsia="source serif 4" w:cs="source serif 4" w:ascii="source serif 4" w:hAnsi="source serif 4"/>
          <w:color w:val="000000"/>
        </w:rPr>
        <w:t xml:space="preserve"> (réplica instrumentada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calculo_laminación_instr.js</w:t>
      </w:r>
      <w:r>
        <w:rPr>
          <w:rFonts w:eastAsia="source serif 4" w:cs="source serif 4" w:ascii="source serif 4" w:hAnsi="source serif 4"/>
          <w:color w:val="000000"/>
        </w:rPr>
        <w:t xml:space="preserve">, caso sintético C15): Shinokura3 predijo un semiancho de 13.57 mm (W = 27.14) contra un canal que admite 10.39 (B = 20.78) — un 30.6% de exceso sobre el canal; el recorte elimina en silencio el 23.4% de la anchura predicha.</w:t>
      </w:r>
    </w:p>
    <w:p>
      <w:pPr>
        <w:spacing w:line="360" w:before="315" w:after="105" w:lineRule="auto"/>
        <w:ind w:left="-30"/>
        <w:jc w:val="left"/>
      </w:pPr>
      <w:bookmarkStart w:id="6" w:name="h4_cocientes_de_área_inferiores_a_4e764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H4 — Cocientes de área inferiores a 1 (grave)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 área de salida se construye desde el contorno (canal + parábola de superficie libre) y λ se calcula a posteriori; nada obliga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A</m:t>
            </m:r>
          </m:e>
          <m:sub>
            <m:r>
              <m:rPr>
                <m:sty m:val="i"/>
              </m:rPr>
              <w:rPr>
                <w:color w:val="000000"/>
              </w:rPr>
              <m:t>s</m:t>
            </m:r>
            <m:r>
              <m:rPr>
                <m:sty m:val="i"/>
              </m:rPr>
              <w:rPr>
                <w:color w:val="000000"/>
              </w:rPr>
              <m:t>a</m:t>
            </m:r>
            <m:r>
              <m:rPr>
                <m:sty m:val="i"/>
              </m:rPr>
              <w:rPr>
                <w:color w:val="000000"/>
              </w:rPr>
              <m:t>l</m:t>
            </m:r>
            <m:r>
              <m:rPr>
                <m:sty m:val="i"/>
              </m:rPr>
              <w:rPr>
                <w:color w:val="000000"/>
              </w:rPr>
              <m:t>i</m:t>
            </m:r>
            <m:r>
              <m:rPr>
                <m:sty m:val="i"/>
              </m:rPr>
              <w:rPr>
                <w:color w:val="000000"/>
              </w:rPr>
              <m:t>d</m:t>
            </m:r>
            <m:r>
              <m:rPr>
                <m:sty m:val="i"/>
              </m:rPr>
              <w:rPr>
                <w:color w:val="000000"/>
              </w:rPr>
              <m:t>a</m:t>
            </m:r>
          </m:sub>
        </m:sSub>
        <m:r>
          <m:rPr>
            <m:sty m:val="p"/>
          </m:rPr>
          <w:rPr>
            <w:color w:val="000000"/>
          </w:rPr>
          <m:t>&lt;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A</m:t>
            </m:r>
          </m:e>
          <m:sub>
            <m:r>
              <m:rPr>
                <m:sty m:val="i"/>
              </m:rPr>
              <w:rPr>
                <w:color w:val="000000"/>
              </w:rPr>
              <m:t>e</m:t>
            </m:r>
            <m:r>
              <m:rPr>
                <m:sty m:val="i"/>
              </m:rPr>
              <w:rPr>
                <w:color w:val="000000"/>
              </w:rPr>
              <m:t>n</m:t>
            </m:r>
            <m:r>
              <m:rPr>
                <m:sty m:val="i"/>
              </m:rPr>
              <w:rPr>
                <w:color w:val="000000"/>
              </w:rPr>
              <m:t>t</m:t>
            </m:r>
            <m:r>
              <m:rPr>
                <m:sty m:val="i"/>
              </m:rPr>
              <w:rPr>
                <w:color w:val="000000"/>
              </w:rPr>
              <m:t>r</m:t>
            </m:r>
            <m:r>
              <m:rPr>
                <m:sty m:val="i"/>
              </m:rPr>
              <w:rPr>
                <w:color w:val="000000"/>
              </w:rPr>
              <m:t>a</m:t>
            </m:r>
            <m:r>
              <m:rPr>
                <m:sty m:val="i"/>
              </m:rPr>
              <w:rPr>
                <w:color w:val="000000"/>
              </w:rPr>
              <m:t>d</m:t>
            </m:r>
            <m:r>
              <m:rPr>
                <m:sty m:val="i"/>
              </m:rPr>
              <w:rPr>
                <w:color w:val="000000"/>
              </w:rPr>
              <m:t>a</m:t>
            </m:r>
          </m:sub>
        </m:sSub>
      </m:oMath>
      <w:r>
        <w:rPr>
          <w:rFonts w:eastAsia="source serif 4" w:cs="source serif 4" w:ascii="source serif 4" w:hAnsi="source serif 4"/>
          <w:color w:val="000000"/>
        </w:rPr>
        <w:t xml:space="preserve">. </w:t>
      </w:r>
      <w:r>
        <w:rPr>
          <w:rFonts w:eastAsia="source serif 4" w:cs="source serif 4" w:ascii="source serif 4" w:hAnsi="source serif 4"/>
          <w:b/>
          <w:color w:val="000000"/>
        </w:rPr>
        <w:t xml:space="preserve">Verificado ejecutando la cadena completa</w:t>
      </w:r>
      <w:r>
        <w:rPr>
          <w:rFonts w:eastAsia="source serif 4" w:cs="source serif 4" w:ascii="source serif 4" w:hAnsi="source serif 4"/>
          <w:color w:val="000000"/>
        </w:rPr>
        <w:t xml:space="preserve"> (perfil 8, salida 29, palanquilla 150, luz 10): λ &lt; 1 en C14 (0.973), C18 (0.942), C20 (0.884) y C26 (0.758) — el área de sección </w:t>
      </w:r>
      <w:r>
        <w:rPr>
          <w:rFonts w:eastAsia="source serif 4" w:cs="source serif 4" w:ascii="source serif 4" w:hAnsi="source serif 4"/>
          <w:b/>
          <w:color w:val="000000"/>
        </w:rPr>
        <w:t xml:space="preserve">crece</w:t>
      </w:r>
      <w:r>
        <w:rPr>
          <w:rFonts w:eastAsia="source serif 4" w:cs="source serif 4" w:ascii="source serif 4" w:hAnsi="source serif 4"/>
          <w:color w:val="000000"/>
        </w:rPr>
        <w:t xml:space="preserve"> al pasar por la caja. En laminación con alargamiento el cociente de áreas debe ser ≥ 1 (la conservación de masa se aplica a </w:t>
      </w:r>
      <m:oMath>
        <m:r>
          <m:rPr>
            <m:sty m:val="i"/>
          </m:rPr>
          <w:rPr>
            <w:color w:val="000000"/>
          </w:rPr>
          <m:t>A</m:t>
        </m:r>
        <m:r>
          <m:rPr>
            <m:sty m:val="p"/>
          </m:rPr>
          <w:rPr>
            <w:color w:val="000000"/>
          </w:rPr>
          <m:t>⋅</m:t>
        </m:r>
        <m:r>
          <m:rPr>
            <m:sty m:val="i"/>
          </m:rPr>
          <w:rPr>
            <w:color w:val="000000"/>
          </w:rPr>
          <m:t>v</m:t>
        </m:r>
      </m:oMath>
      <w:r>
        <w:rPr>
          <w:rFonts w:eastAsia="source serif 4" w:cs="source serif 4" w:ascii="source serif 4" w:hAnsi="source serif 4"/>
          <w:color w:val="000000"/>
        </w:rPr>
        <w:t xml:space="preserve"> o </w:t>
      </w:r>
      <m:oMath>
        <m:r>
          <m:rPr>
            <m:sty m:val="i"/>
          </m:rPr>
          <w:rPr>
            <w:color w:val="000000"/>
          </w:rPr>
          <m:t>A</m:t>
        </m:r>
        <m:r>
          <m:rPr>
            <m:sty m:val="p"/>
          </m:rPr>
          <w:rPr>
            <w:color w:val="000000"/>
          </w:rPr>
          <m:t>⋅</m:t>
        </m:r>
        <m:r>
          <m:rPr>
            <m:sty m:val="i"/>
          </m:rPr>
          <w:rPr>
            <w:color w:val="000000"/>
          </w:rPr>
          <m:t>L</m:t>
        </m:r>
      </m:oMath>
      <w:r>
        <w:rPr>
          <w:rFonts w:eastAsia="source serif 4" w:cs="source serif 4" w:ascii="source serif 4" w:hAnsi="source serif 4"/>
          <w:color w:val="000000"/>
        </w:rPr>
        <w:t xml:space="preserve">); estos cocientes requieren revisión. Resultados completos 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pyroll_bridge/cadena_js_resultados.json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7" w:name="h5_c16_c17_pyroll_no_resuelve_baj_83d9b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H5 — C16/C17: PyRolL no resuelve bajo las hipótesis del ensayo y el JS calcula sin aviso (grave)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 los valores por defecto 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lamina_4.js</w:t>
      </w:r>
      <w:r>
        <w:rPr>
          <w:rFonts w:eastAsia="source serif 4" w:cs="source serif 4" w:ascii="source serif 4" w:hAnsi="source serif 4"/>
          <w:color w:val="000000"/>
        </w:rPr>
        <w:t xml:space="preserve"> (luz = 10 en todas las cajas, R = 550 mm), contrastando con PyRolL con entrada efectiva idéntica (ver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documentacion/mapeo_pyroll.md</w:t>
      </w:r>
      <w:r>
        <w:rPr>
          <w:rFonts w:eastAsia="source serif 4" w:cs="source serif 4" w:ascii="source serif 4" w:hAnsi="source serif 4"/>
          <w:color w:val="000000"/>
        </w:rPr>
        <w:t xml:space="preserve"> §4):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C16 y C17 no se resuelven en PyRolL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la entrada real de C16 (16.40 × 20.08) es más baja que la abertura del canal (21) y la de C17 (11.00 × 23.14) más baja que la suya (24). Que la altura central quede por debajo de la abertura central no descarta por sí solo contacto en los flancos, y que PyRolL no resuelva no demuestra imposibilidad física: PyRolL no converge en estas condiciones y devuelve un error de valor infinito 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entry_point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este ensayo no determina por sí solo la causa física. El JS, en cambio, calcula igual y sin aviso, devolviendo secciones con un 74% y un 64% más de área que la entrada (λ efectivos 0.573 y 0.610).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El motor JS no comprueba nada de esto: aplica las fórmulas igualmente y entrega una sección que llena exactamente la ventana del canal (W = B, H = abertura) aunque el área crezca.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Nota: una entrada más alta que la abertura NO es un defecto (es el calado normal de laminación); el contacto real debe evaluarse contra el contorno local del canal, no solo la altura central.</w:t>
      </w:r>
    </w:p>
    <w:p>
      <w:pPr>
        <w:spacing w:line="360" w:before="315" w:after="105" w:lineRule="auto"/>
        <w:ind w:left="-30"/>
        <w:jc w:val="left"/>
      </w:pPr>
      <w:bookmarkStart w:id="8" w:name="h6_la_exención_de_rotación_de_bh_a615a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H6 — La exención de rotación de BH/CV es código muerto (nuevo)</w:t>
      </w:r>
      <w:bookmarkEnd w:id="8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lamina_4.js</w:t>
      </w:r>
      <w:r>
        <w:rPr>
          <w:rFonts w:eastAsia="source serif 4" w:cs="source serif 4" w:ascii="source serif 4" w:hAnsi="source serif 4"/>
          <w:color w:val="000000"/>
        </w:rPr>
        <w:t xml:space="preserve"> (línea 282):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if (p.nombre !== "BH" &amp;&amp; p.nombre !== "CV")</w:t>
      </w:r>
      <w:r>
        <w:rPr>
          <w:rFonts w:eastAsia="source serif 4" w:cs="source serif 4" w:ascii="source serif 4" w:hAnsi="source serif 4"/>
          <w:color w:val="000000"/>
        </w:rPr>
        <w:t xml:space="preserve"> — pero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nombre</w:t>
      </w:r>
      <w:r>
        <w:rPr>
          <w:rFonts w:eastAsia="source serif 4" w:cs="source serif 4" w:ascii="source serif 4" w:hAnsi="source serif 4"/>
          <w:color w:val="000000"/>
        </w:rPr>
        <w:t xml:space="preserve"> vale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"Caja BH"</w:t>
      </w:r>
      <w:r>
        <w:rPr>
          <w:rFonts w:eastAsia="source serif 4" w:cs="source serif 4" w:ascii="source serif 4" w:hAnsi="source serif 4"/>
          <w:color w:val="000000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"Caja CV"</w:t>
      </w:r>
      <w:r>
        <w:rPr>
          <w:rFonts w:eastAsia="source serif 4" w:cs="source serif 4" w:ascii="source serif 4" w:hAnsi="source serif 4"/>
          <w:color w:val="000000"/>
        </w:rPr>
        <w:t xml:space="preserve"> 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diametros.json</w:t>
      </w:r>
      <w:r>
        <w:rPr>
          <w:rFonts w:eastAsia="source serif 4" w:cs="source serif 4" w:ascii="source serif 4" w:hAnsi="source serif 4"/>
          <w:color w:val="000000"/>
        </w:rPr>
        <w:t xml:space="preserve">, así que la condición nunca es falsa: </w:t>
      </w:r>
      <w:r>
        <w:rPr>
          <w:rFonts w:eastAsia="source serif 4" w:cs="source serif 4" w:ascii="source serif 4" w:hAnsi="source serif 4"/>
          <w:b/>
          <w:color w:val="000000"/>
        </w:rPr>
        <w:t xml:space="preserve">BH y CV también se rotan</w:t>
      </w:r>
      <w:r>
        <w:rPr>
          <w:rFonts w:eastAsia="source serif 4" w:cs="source serif 4" w:ascii="source serif 4" w:hAnsi="source serif 4"/>
          <w:color w:val="000000"/>
        </w:rPr>
        <w:t xml:space="preserve">, contra lo que el comentario del código intenta. La rotación entre AH→BH→CV debería revisarse contra el esquema real del tren.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detalle_canal.js (línea 143) replica el mismo patrón</w:t>
      </w:r>
      <w:r>
        <w:rPr>
          <w:rFonts w:eastAsia="source serif 4" w:cs="source serif 4" w:ascii="source serif 4" w:hAnsi="source serif 4"/>
          <w:color w:val="000000"/>
        </w:rPr>
        <w:t xml:space="preserve"> con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p.nombre !== "BH" &amp;&amp; p.nombre !== "CV"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9" w:name="h7_variantes_de_canal_inalcanzabl_54cfb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H7 — Variantes de canal inalcanzables (nuevo)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diametros.json</w:t>
      </w:r>
      <w:r>
        <w:rPr>
          <w:rFonts w:eastAsia="source serif 4" w:cs="source serif 4" w:ascii="source serif 4" w:hAnsi="source serif 4"/>
          <w:color w:val="000000"/>
        </w:rPr>
        <w:t xml:space="preserve">, las cajas C16, C17, C19, C20, … tienen variantes (variante 2, 3) con geometrías distintas, pero tanto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lamina_4.js</w:t>
      </w:r>
      <w:r>
        <w:rPr>
          <w:rFonts w:eastAsia="source serif 4" w:cs="source serif 4" w:ascii="source serif 4" w:hAnsi="source serif 4"/>
          <w:color w:val="000000"/>
        </w:rPr>
        <w:t xml:space="preserve"> como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detalle_canal.js</w:t>
      </w:r>
      <w:r>
        <w:rPr>
          <w:rFonts w:eastAsia="source serif 4" w:cs="source serif 4" w:ascii="source serif 4" w:hAnsi="source serif 4"/>
          <w:color w:val="000000"/>
        </w:rPr>
        <w:t xml:space="preserve"> toman la </w:t>
      </w:r>
      <w:r>
        <w:rPr>
          <w:rFonts w:eastAsia="source serif 4" w:cs="source serif 4" w:ascii="source serif 4" w:hAnsi="source serif 4"/>
          <w:b/>
          <w:color w:val="000000"/>
        </w:rPr>
        <w:t xml:space="preserve">primera</w:t>
      </w:r>
      <w:r>
        <w:rPr>
          <w:rFonts w:eastAsia="source serif 4" w:cs="source serif 4" w:ascii="source serif 4" w:hAnsi="source serif 4"/>
          <w:color w:val="000000"/>
        </w:rPr>
        <w:t xml:space="preserve"> coincidencia (variante 1;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detalle_canal.js</w:t>
      </w:r>
      <w:r>
        <w:rPr>
          <w:rFonts w:eastAsia="source serif 4" w:cs="source serif 4" w:ascii="source serif 4" w:hAnsi="source serif 4"/>
          <w:color w:val="000000"/>
        </w:rPr>
        <w:t xml:space="preserve"> además usa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perfiles[0]</w:t>
      </w:r>
      <w:r>
        <w:rPr>
          <w:rFonts w:eastAsia="source serif 4" w:cs="source serif 4" w:ascii="source serif 4" w:hAnsi="source serif 4"/>
          <w:color w:val="000000"/>
        </w:rPr>
        <w:t xml:space="preserve">, ignorando la geometría por perfil de salida). Las variantes ≥ 2 son datos muertos en la UI actual. Además, la búsqueda por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</w:t>
      </w:r>
      <w:r>
        <w:rPr>
          <w:rFonts w:eastAsia="source serif 4" w:cs="source serif 4" w:ascii="source serif 4" w:hAnsi="source serif 4"/>
          <w:color w:val="000000"/>
        </w:rPr>
        <w:t xml:space="preserve"> ignora el campo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variante</w:t>
      </w:r>
      <w:r>
        <w:rPr>
          <w:rFonts w:eastAsia="source serif 4" w:cs="source serif 4" w:ascii="source serif 4" w:hAnsi="source serif 4"/>
          <w:color w:val="000000"/>
        </w:rPr>
        <w:t xml:space="preserve">, con riesgo de selección errónea si se reordena el JSON.</w:t>
      </w:r>
    </w:p>
    <w:p>
      <w:pPr>
        <w:spacing w:line="360" w:before="315" w:after="105" w:lineRule="auto"/>
        <w:ind w:left="-30"/>
        <w:jc w:val="left"/>
      </w:pPr>
      <w:bookmarkStart w:id="10" w:name="h8_placeholders_globa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H8 — Placeholders globales</w:t>
      </w:r>
      <w:bookmarkEnd w:id="10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R_Tabla</w:t>
      </w:r>
      <w:r>
        <w:rPr>
          <w:rFonts w:eastAsia="source serif 4" w:cs="source serif 4" w:ascii="source serif 4" w:hAnsi="source serif 4"/>
          <w:color w:val="000000"/>
        </w:rPr>
        <w:t xml:space="preserve"> = 550 mm para </w:t>
      </w:r>
      <w:r>
        <w:rPr>
          <w:rFonts w:eastAsia="source serif 4" w:cs="source serif 4" w:ascii="source serif 4" w:hAnsi="source serif 4"/>
          <w:b/>
          <w:color w:val="000000"/>
        </w:rPr>
        <w:t xml:space="preserve">todas</w:t>
      </w:r>
      <w:r>
        <w:rPr>
          <w:rFonts w:eastAsia="source serif 4" w:cs="source serif 4" w:ascii="source serif 4" w:hAnsi="source serif 4"/>
          <w:color w:val="000000"/>
        </w:rPr>
        <w:t xml:space="preserve"> las cajas (rango por defecto 100–1000), luz = 10 fija,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R_transfor</w:t>
      </w:r>
      <w:r>
        <w:rPr>
          <w:rFonts w:eastAsia="source serif 4" w:cs="source serif 4" w:ascii="source serif 4" w:hAnsi="source serif 4"/>
          <w:color w:val="000000"/>
        </w:rPr>
        <w:t xml:space="preserve"> = 1.2 fijo. Los JSON de luces reales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config_luces_RS_resto.json</w:t>
      </w:r>
      <w:r>
        <w:rPr>
          <w:rFonts w:eastAsia="source serif 4" w:cs="source serif 4" w:ascii="source serif 4" w:hAnsi="source serif 4"/>
          <w:color w:val="000000"/>
        </w:rPr>
        <w:t xml:space="preserve">, con luz y λ por caja y perfil) existen pero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lamina_4.js no los carga</w:t>
      </w:r>
      <w:r>
        <w:rPr>
          <w:rFonts w:eastAsia="source serif 4" w:cs="source serif 4" w:ascii="source serif 4" w:hAnsi="source serif 4"/>
          <w:color w:val="000000"/>
        </w:rPr>
        <w:t xml:space="preserve"> (línea 99: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Valor_luz: 10</w:t>
      </w:r>
      <w:r>
        <w:rPr>
          <w:rFonts w:eastAsia="source serif 4" w:cs="source serif 4" w:ascii="source serif 4" w:hAnsi="source serif 4"/>
          <w:color w:val="000000"/>
        </w:rPr>
        <w:t xml:space="preserve"> fijo). El radio afecta directamente al ensanchamiento vía </w:t>
      </w:r>
      <m:oMath>
        <m:rad>
          <m:radPr>
            <m:degHide m:val="1"/>
            <m:ctrlPr>
              <w:rPr>
                <w:rFonts w:ascii="Cambria Math" w:hAnsi="Cambria Math"/>
                <w:color w:val="000000"/>
              </w:rPr>
            </m:ctrlPr>
          </m:radPr>
          <m:deg/>
          <m:e>
            <m:r>
              <m:rPr>
                <m:sty m:val="i"/>
              </m:rPr>
              <w:rPr>
                <w:color w:val="000000"/>
              </w:rPr>
              <m:t>R</m:t>
            </m:r>
            <m:r>
              <m:rPr>
                <m:sty m:val="p"/>
              </m:rPr>
              <w:rPr>
                <w:color w:val="000000"/>
              </w:rPr>
              <m:t xml:space="preserve"> </m:t>
            </m:r>
            <m:r>
              <m:rPr>
                <m:sty m:val="p"/>
              </m:rPr>
              <w:rPr>
                <w:color w:val="000000"/>
              </w:rPr>
              <m:t>Δ</m:t>
            </m:r>
            <m:r>
              <m:rPr>
                <m:sty m:val="i"/>
              </m:rPr>
              <w:rPr>
                <w:color w:val="000000"/>
              </w:rPr>
              <m:t>h</m:t>
            </m:r>
          </m:e>
        </m:rad>
      </m:oMath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1" w:name="h9_controles_duplicados_y_control_43a59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H9 — Controles duplicados y controles inoperantes</w:t>
      </w:r>
      <w:bookmarkEnd w:id="11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</w:rPr>
        <w:t xml:space="preserve"> carga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pasadas_copy.js</w:t>
      </w:r>
      <w:r>
        <w:rPr>
          <w:rFonts w:eastAsia="source serif 4" w:cs="source serif 4" w:ascii="source serif 4" w:hAnsi="source serif 4"/>
          <w:color w:val="000000"/>
        </w:rPr>
        <w:t xml:space="preserve"> 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lamina_4.js</w:t>
      </w:r>
      <w:r>
        <w:rPr>
          <w:rFonts w:eastAsia="source serif 4" w:cs="source serif 4" w:ascii="source serif 4" w:hAnsi="source serif 4"/>
          <w:color w:val="000000"/>
        </w:rPr>
        <w:t xml:space="preserve">, y ambos registran eventos sobre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selectPerfil</w:t>
      </w:r>
      <w:r>
        <w:rPr>
          <w:rFonts w:eastAsia="source serif 4" w:cs="source serif 4" w:ascii="source serif 4" w:hAnsi="source serif 4"/>
          <w:color w:val="000000"/>
        </w:rPr>
        <w:t xml:space="preserve"> y escriben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window.pasadas_55</w:t>
      </w:r>
      <w:r>
        <w:rPr>
          <w:rFonts w:eastAsia="source serif 4" w:cs="source serif 4" w:ascii="source serif 4" w:hAnsi="source serif 4"/>
          <w:color w:val="000000"/>
        </w:rPr>
        <w:t xml:space="preserve">: competencia entre inicializaciones. El control "R. Transformación" guarda el valor modificado pero el cálculo nunca lo consulta (λ siempre se recalcula como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A</m:t>
            </m:r>
          </m:e>
          <m:sub>
            <m:r>
              <m:rPr>
                <m:sty m:val="i"/>
              </m:rPr>
              <w:rPr>
                <w:color w:val="000000"/>
              </w:rPr>
              <m:t>i</m:t>
            </m:r>
            <m:r>
              <m:rPr>
                <m:sty m:val="i"/>
              </m:rPr>
              <w:rPr>
                <w:color w:val="000000"/>
              </w:rPr>
              <m:t>n</m:t>
            </m:r>
          </m:sub>
        </m:sSub>
        <m:r>
          <m:rPr>
            <m:sty m:val="p"/>
          </m:rPr>
          <w:rPr>
            <w:color w:val="000000"/>
          </w:rPr>
          <m:t>/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A</m:t>
            </m:r>
          </m:e>
          <m:sub>
            <m:r>
              <m:rPr>
                <m:sty m:val="i"/>
              </m:rPr>
              <w:rPr>
                <w:color w:val="000000"/>
              </w:rPr>
              <m:t>o</m:t>
            </m:r>
            <m:r>
              <m:rPr>
                <m:sty m:val="i"/>
              </m:rPr>
              <w:rPr>
                <w:color w:val="000000"/>
              </w:rPr>
              <m:t>u</m:t>
            </m:r>
            <m:r>
              <m:rPr>
                <m:sty m:val="i"/>
              </m:rPr>
              <w:rPr>
                <w:color w:val="000000"/>
              </w:rPr>
              <m:t>t</m:t>
            </m:r>
          </m:sub>
        </m:sSub>
      </m:oMath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2" w:name="h13_vista_de_detalle_cálculo_inde_ea7e0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H13 — Vista de detalle: cálculo independiente, sin control de luz y parámetros leídos sin control (nuevo)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detalle_canal.js</w:t>
      </w:r>
      <w:r>
        <w:rPr>
          <w:rFonts w:eastAsia="source serif 4" w:cs="source serif 4" w:ascii="source serif 4" w:hAnsi="source serif 4"/>
          <w:color w:val="000000"/>
        </w:rPr>
        <w:t xml:space="preserve"> el manejador 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Valor_luz</w:t>
      </w:r>
      <w:r>
        <w:rPr>
          <w:rFonts w:eastAsia="source serif 4" w:cs="source serif 4" w:ascii="source serif 4" w:hAnsi="source serif 4"/>
          <w:color w:val="000000"/>
        </w:rPr>
        <w:t xml:space="preserve"> existe (línea 275) pero </w:t>
      </w:r>
      <w:r>
        <w:rPr>
          <w:rFonts w:eastAsia="source serif 4" w:cs="source serif 4" w:ascii="source serif 4" w:hAnsi="source serif 4"/>
          <w:b/>
          <w:color w:val="000000"/>
        </w:rPr>
        <w:t xml:space="preserve">ningún control lo emite</w:t>
      </w:r>
      <w:r>
        <w:rPr>
          <w:rFonts w:eastAsia="source serif 4" w:cs="source serif 4" w:ascii="source serif 4" w:hAnsi="source serif 4"/>
          <w:color w:val="000000"/>
        </w:rPr>
        <w:t xml:space="preserve">: los controles generados son solo B, H, R, r, a y R_Tabla, de modo que no hay control de luz en esta vista (aunque puede recuperar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Valor_luz_modificado</w:t>
      </w:r>
      <w:r>
        <w:rPr>
          <w:rFonts w:eastAsia="source serif 4" w:cs="source serif 4" w:ascii="source serif 4" w:hAnsi="source serif 4"/>
          <w:color w:val="000000"/>
        </w:rPr>
        <w:t xml:space="preserve"> de localStorage). Los parámetros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R1</w:t>
      </w:r>
      <w:r>
        <w:rPr>
          <w:rFonts w:eastAsia="source serif 4" w:cs="source serif 4" w:ascii="source serif 4" w:hAnsi="source serif 4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R2</w:t>
      </w:r>
      <w:r>
        <w:rPr>
          <w:rFonts w:eastAsia="source serif 4" w:cs="source serif 4" w:ascii="source serif 4" w:hAnsi="source serif 4"/>
          <w:color w:val="000000"/>
        </w:rPr>
        <w:t xml:space="preserve"> (tipo C1) 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</w:t>
      </w:r>
      <w:r>
        <w:rPr>
          <w:rFonts w:eastAsia="source serif 4" w:cs="source serif 4" w:ascii="source serif 4" w:hAnsi="source serif 4"/>
          <w:color w:val="000000"/>
        </w:rPr>
        <w:t xml:space="preserve"> (tipo RSM) se leen y muestran en la tabla pero no tienen control deslizante. Además, la vista </w:t>
      </w:r>
      <w:r>
        <w:rPr>
          <w:rFonts w:eastAsia="source serif 4" w:cs="source serif 4" w:ascii="source serif 4" w:hAnsi="source serif 4"/>
          <w:b/>
          <w:color w:val="000000"/>
        </w:rPr>
        <w:t xml:space="preserve">no reproduce el estado de la pasada en la cadena</w:t>
      </w:r>
      <w:r>
        <w:rPr>
          <w:rFonts w:eastAsia="source serif 4" w:cs="source serif 4" w:ascii="source serif 4" w:hAnsi="source serif 4"/>
          <w:color w:val="000000"/>
        </w:rPr>
        <w:t xml:space="preserve">: la línea 102 arranca siempre de una palanquilla de 150 mm y calcula la caja seleccionada desde ella, no desde la salida de la caja anterior, y la línea 220 pasa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null</w:t>
      </w:r>
      <w:r>
        <w:rPr>
          <w:rFonts w:eastAsia="source serif 4" w:cs="source serif 4" w:ascii="source serif 4" w:hAnsi="source serif 4"/>
          <w:color w:val="000000"/>
        </w:rPr>
        <w:t xml:space="preserve"> como relleno al gráfico. Es un cálculo independiente que hereda los defectos del motor (H1, H3) al llamar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EkelundZheng2</w:t>
      </w:r>
      <w:r>
        <w:rPr>
          <w:rFonts w:eastAsia="source serif 4" w:cs="source serif 4" w:ascii="source serif 4" w:hAnsi="source serif 4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Shinokura3</w:t>
      </w:r>
      <w:r>
        <w:rPr>
          <w:rFonts w:eastAsia="source serif 4" w:cs="source serif 4" w:ascii="source serif 4" w:hAnsi="source serif 4"/>
          <w:color w:val="000000"/>
        </w:rPr>
        <w:t xml:space="preserve"> con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R_Tabla</w:t>
      </w:r>
      <w:r>
        <w:rPr>
          <w:rFonts w:eastAsia="source serif 4" w:cs="source serif 4" w:ascii="source serif 4" w:hAnsi="source serif 4"/>
          <w:color w:val="000000"/>
        </w:rPr>
        <w:t xml:space="preserve"> por defecto 550.</w:t>
      </w:r>
    </w:p>
    <w:p>
      <w:pPr>
        <w:spacing w:line="360" w:before="315" w:after="105" w:lineRule="auto"/>
        <w:ind w:left="-30"/>
        <w:jc w:val="left"/>
      </w:pPr>
      <w:bookmarkStart w:id="13" w:name="h14_grafica_js_sin_hallazgos_adic_4eaf8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H14 —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grafica.js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: sin hallazgos adicionales en la revisión estática (nuevo)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Revisado al 100%: es solo renderizado (Chart.js). Construye el polígono de relleno cerrando el tramo superior con el inferior y mantiene escala proporcional con límites simétricos. Sin hallazgos adicionales en la revisión estática; únicamente detalles cosméticos (cursor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img/bruja.png</w:t>
      </w:r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3_hallazgos_variantes_inactiva_6bb58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Hallazgos (variantes inactivas — bombas latentes)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h10_generarperfilsalidaekelundzhe_a1780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H10 —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generarPerfilSalidaEkelundZheng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produce NaN</w:t>
      </w:r>
      <w:bookmarkEnd w:id="15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let delta_b = function(...){...}</w:t>
      </w:r>
      <w:r>
        <w:rPr>
          <w:rFonts w:eastAsia="source serif 4" w:cs="source serif 4" w:ascii="source serif 4" w:hAnsi="source serif 4"/>
          <w:color w:val="000000"/>
        </w:rPr>
        <w:t xml:space="preserve"> define la función pero nunca la invoca; luego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(W0 + delta_b)/2</w:t>
      </w:r>
      <w:r>
        <w:rPr>
          <w:rFonts w:eastAsia="source serif 4" w:cs="source serif 4" w:ascii="source serif 4" w:hAnsi="source serif 4"/>
          <w:color w:val="000000"/>
        </w:rPr>
        <w:t xml:space="preserve"> concatena objeto → NaN. Roto si se activa.</w:t>
      </w:r>
    </w:p>
    <w:p>
      <w:pPr>
        <w:spacing w:line="360" w:before="315" w:after="105" w:lineRule="auto"/>
        <w:ind w:left="-30"/>
        <w:jc w:val="left"/>
      </w:pPr>
      <w:bookmarkStart w:id="16" w:name="h11_inconsistencia_de_escalado_en_δ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H11 — Inconsistencia de escalado en Δb</w:t>
      </w:r>
      <w:bookmarkEnd w:id="16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generarPerfilSalidaEkelund</w:t>
      </w:r>
      <w:r>
        <w:rPr>
          <w:rFonts w:eastAsia="source serif 4" w:cs="source serif 4" w:ascii="source serif 4" w:hAnsi="source serif 4"/>
          <w:color w:val="000000"/>
        </w:rPr>
        <w:t xml:space="preserve"> usa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W1 = W0 + delta_b/2</w:t>
      </w:r>
      <w:r>
        <w:rPr>
          <w:rFonts w:eastAsia="source serif 4" w:cs="source serif 4" w:ascii="source serif 4" w:hAnsi="source serif 4"/>
          <w:color w:val="000000"/>
        </w:rPr>
        <w:t xml:space="preserve"> mientras el resto usa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W1 = W0 + delta_b</w:t>
      </w:r>
      <w:r>
        <w:rPr>
          <w:rFonts w:eastAsia="source serif 4" w:cs="source serif 4" w:ascii="source serif 4" w:hAnsi="source serif 4"/>
          <w:color w:val="000000"/>
        </w:rPr>
        <w:t xml:space="preserve">. Si Δb es el ensanchamiento total (dos flancos), la primera lo parte a la mitad.</w:t>
      </w:r>
    </w:p>
    <w:p>
      <w:pPr>
        <w:spacing w:line="360" w:before="315" w:after="105" w:lineRule="auto"/>
        <w:ind w:left="-30"/>
        <w:jc w:val="left"/>
      </w:pPr>
      <w:bookmarkStart w:id="17" w:name="h12_factor_2_en_ekelund_v1_shinok_dc00e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H12 — Factor 2 en 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4"/>
              </w:rPr>
              <m:t>A</m:t>
            </m:r>
          </m:e>
          <m:sub>
            <m:r>
              <m:rPr>
                <m:sty m:val="i"/>
              </m:rPr>
              <w:rPr>
                <w:color w:val="000000"/>
                <w:sz w:val="24"/>
              </w:rPr>
              <m:t>h</m:t>
            </m:r>
          </m:sub>
        </m:sSub>
      </m:oMath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(Ekelund v1, Shinokura v1/v2)</w:t>
      </w:r>
      <w:bookmarkEnd w:id="1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calcularAreaDesdePuntos</w:t>
      </w:r>
      <w:r>
        <w:rPr>
          <w:rFonts w:eastAsia="source serif 4" w:cs="source serif 4" w:ascii="source serif 4" w:hAnsi="source serif 4"/>
          <w:color w:val="000000"/>
        </w:rPr>
        <w:t xml:space="preserve"> multiplica por 4 (sección completa), pero esas variantes le pasan alturas </w:t>
      </w:r>
      <w:r>
        <w:rPr>
          <w:rFonts w:eastAsia="source serif 4" w:cs="source serif 4" w:ascii="source serif 4" w:hAnsi="source serif 4"/>
          <w:b/>
          <w:color w:val="000000"/>
        </w:rPr>
        <w:t xml:space="preserve">totales</w:t>
      </w:r>
      <w:r>
        <w:rPr>
          <w:rFonts w:eastAsia="source serif 4" w:cs="source serif 4" w:ascii="source serif 4" w:hAnsi="source serif 4"/>
          <w:color w:val="000000"/>
        </w:rPr>
        <w:t xml:space="preserve"> integradas sobre el </w:t>
      </w:r>
      <w:r>
        <w:rPr>
          <w:rFonts w:eastAsia="source serif 4" w:cs="source serif 4" w:ascii="source serif 4" w:hAnsi="source serif 4"/>
          <w:b/>
          <w:color w:val="000000"/>
        </w:rPr>
        <w:t xml:space="preserve">semiancho</w:t>
      </w:r>
      <w:r>
        <w:rPr>
          <w:rFonts w:eastAsia="source serif 4" w:cs="source serif 4" w:ascii="source serif 4" w:hAnsi="source serif 4"/>
          <w:color w:val="000000"/>
        </w:rPr>
        <w:t xml:space="preserve">: </w:t>
      </w:r>
      <m:oMath>
        <m:r>
          <m:rPr>
            <m:sty m:val="p"/>
          </m:rPr>
          <w:rPr>
            <w:color w:val="000000"/>
          </w:rPr>
          <m:t>4</m:t>
        </m:r>
        <m:nary>
          <m:naryPr>
            <m:chr m:val="∫"/>
            <m:limLoc m:val="subSup"/>
            <m:grow m:val="1"/>
          </m:naryPr>
          <m:sub>
            <m:r>
              <m:rPr>
                <m:sty m:val="p"/>
              </m:rPr>
              <w:rPr>
                <w:color w:val="000000"/>
              </w:rPr>
              <m:t>0</m:t>
            </m:r>
          </m:sub>
          <m:sup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m:rPr>
                    <m:sty m:val="i"/>
                  </m:rPr>
                  <w:rPr>
                    <w:color w:val="000000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color w:val="000000"/>
                  </w:rPr>
                  <m:t>0</m:t>
                </m:r>
              </m:sub>
            </m:sSub>
            <m:r>
              <m:rPr>
                <m:sty m:val="p"/>
              </m:rPr>
              <w:rPr>
                <w:color w:val="000000"/>
              </w:rPr>
              <m:t>/</m:t>
            </m:r>
            <m:r>
              <m:rPr>
                <m:sty m:val="p"/>
              </m:rPr>
              <w:rPr>
                <w:color w:val="000000"/>
              </w:rPr>
              <m:t>2</m:t>
            </m:r>
          </m:sup>
          <m:e>
            <m:r>
              <m:rPr>
                <m:sty m:val="p"/>
              </m:rPr>
              <w:rPr>
                <w:color w:val="000000"/>
              </w:rPr>
              <m:t xml:space="preserve"> </m:t>
            </m:r>
          </m:e>
        </m:nary>
        <m:r>
          <m:rPr>
            <m:sty m:val="i"/>
          </m:rPr>
          <w:rPr>
            <w:color w:val="000000"/>
          </w:rPr>
          <m:t>d</m:t>
        </m:r>
        <m:r>
          <m:rPr>
            <m:sty m:val="i"/>
          </m:rPr>
          <w:rPr>
            <w:color w:val="000000"/>
          </w:rPr>
          <m:t>h</m:t>
        </m:r>
        <m:r>
          <m:rPr>
            <m:sty m:val="p"/>
          </m:rPr>
          <w:rPr>
            <w:color w:val="000000"/>
          </w:rPr>
          <m:t xml:space="preserve"> </m:t>
        </m:r>
        <m:r>
          <m:rPr>
            <m:sty m:val="i"/>
          </m:rPr>
          <w:rPr>
            <w:color w:val="000000"/>
          </w:rPr>
          <m:t>d</m:t>
        </m:r>
        <m:r>
          <m:rPr>
            <m:sty m:val="i"/>
          </m:rPr>
          <w:rPr>
            <w:color w:val="000000"/>
          </w:rPr>
          <m:t>x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2</m:t>
        </m:r>
        <m:r>
          <m:rPr>
            <m:sty m:val="p"/>
          </m:rPr>
          <w:rPr>
            <w:color w:val="000000"/>
          </w:rPr>
          <m:t>×</m:t>
        </m:r>
      </m:oMath>
      <w:r>
        <w:rPr>
          <w:rFonts w:eastAsia="source serif 4" w:cs="source serif 4" w:ascii="source serif 4" w:hAnsi="source serif 4"/>
          <w:color w:val="000000"/>
        </w:rPr>
        <w:t xml:space="preserve"> área de calado real →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A</m:t>
            </m:r>
          </m:e>
          <m:sub>
            <m:r>
              <m:rPr>
                <m:sty m:val="i"/>
              </m:rPr>
              <w:rPr>
                <w:color w:val="000000"/>
              </w:rPr>
              <m:t>h</m:t>
            </m:r>
          </m:sub>
        </m:sSub>
        <m:r>
          <m:rPr>
            <m:sty m:val="p"/>
          </m:rPr>
          <w:rPr>
            <w:color w:val="000000"/>
          </w:rPr>
          <m:t>/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A</m:t>
            </m:r>
          </m:e>
          <m:sub>
            <m:r>
              <m:rPr>
                <m:sty m:val="p"/>
              </m:rPr>
              <w:rPr>
                <w:color w:val="000000"/>
              </w:rPr>
              <m:t>0</m:t>
            </m:r>
          </m:sub>
        </m:sSub>
      </m:oMath>
      <w:r>
        <w:rPr>
          <w:rFonts w:eastAsia="source serif 4" w:cs="source serif 4" w:ascii="source serif 4" w:hAnsi="source serif 4"/>
          <w:color w:val="000000"/>
        </w:rPr>
        <w:t xml:space="preserve"> inflado al doble → ensanchamiento sobreestimado. No afecta por esa vía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generarPerfilSalidaZheng</w:t>
      </w:r>
      <w:r>
        <w:rPr>
          <w:rFonts w:eastAsia="source serif 4" w:cs="source serif 4" w:ascii="source serif 4" w:hAnsi="source serif 4"/>
          <w:color w:val="000000"/>
        </w:rPr>
        <w:t xml:space="preserve"> (su integral manual multiplica por 2 correctamente) ni a las variantes activas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EkelundZheng2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Shinokura3</w:t>
      </w:r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4_caso_sintético_c15_evidencia_e9387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Caso sintético C15 (evidencia ejecutada, entrada idéntica en ambos motores)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Mismo canal redondo C15 (B=20.78, H=8.2, R=9.8, r=1.5, a=30°, luz 10, R 550) y misma entrada óvalo 17.5×30, sin rotación en ambos motores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pyroll_bridge/caso_sintetico_C15.py</w:t>
      </w:r>
      <w:r>
        <w:rPr>
          <w:rFonts w:eastAsia="source serif 4" w:cs="source serif 4" w:ascii="source serif 4" w:hAnsi="source serif 4"/>
          <w:color w:val="000000"/>
        </w:rPr>
        <w:t xml:space="preserve">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 salida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 salida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Área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JS + Shinokura3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20.78 (= B, recortado)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26.40 (= abertura)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451.9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0.912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(el área crece)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PyRolL + Wusatowski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18.55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26.40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406.7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1.013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Ambos motores resuelven la pasada. El JS recorta el ancho predicho (27.14 mm instrumentados) al canal (20.78) en silencio y entrega más área que la entrada (H3 + H4); PyRolL calcula sin recorte con λ ≥ 1.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bm_5_metodología_y_fuen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Metodología y fuentes</w:t>
      </w:r>
      <w:bookmarkEnd w:id="19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Atribución "Zheng et al. (2010)" con </w:t>
      </w:r>
      <m:oMath>
        <m:r>
          <m:rPr>
            <m:sty m:val="i"/>
          </m:rPr>
          <w:rPr>
            <w:color w:val="000000"/>
            <w:sz w:val="21"/>
          </w:rPr>
          <m:t>m</m:t>
        </m:r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p"/>
          </m:rPr>
          <w:rPr>
            <w:color w:val="000000"/>
            <w:sz w:val="21"/>
          </w:rPr>
          <m:t>1.28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(GCr15):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 verificada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</w:t>
      </w:r>
      <m:oMath>
        <m:r>
          <m:rPr>
            <m:sty m:val="i"/>
          </m:rPr>
          <w:rPr>
            <w:color w:val="000000"/>
            <w:sz w:val="21"/>
          </w:rPr>
          <m:t>γ</m:t>
        </m:r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p"/>
          </m:rPr>
          <w:rPr>
            <w:color w:val="000000"/>
            <w:sz w:val="21"/>
          </w:rPr>
          <m:t>1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fijo y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R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e</m:t>
            </m:r>
            <m:r>
              <m:rPr>
                <m:sty m:val="i"/>
              </m:rPr>
              <w:rPr>
                <w:color w:val="000000"/>
                <w:sz w:val="21"/>
              </w:rPr>
              <m:t>f</m:t>
            </m:r>
            <m:r>
              <m:rPr>
                <m:sty m:val="i"/>
              </m:rPr>
              <w:rPr>
                <w:color w:val="000000"/>
                <w:sz w:val="21"/>
              </w:rPr>
              <m:t>f</m:t>
            </m:r>
          </m:sub>
        </m:sSub>
        <m:r>
          <m:rPr>
            <m:sty m:val="p"/>
          </m:rPr>
          <w:rPr>
            <w:color w:val="000000"/>
            <w:sz w:val="21"/>
          </w:rPr>
          <m:t>=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R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n</m:t>
            </m:r>
            <m:r>
              <m:rPr>
                <m:sty m:val="i"/>
              </m:rPr>
              <w:rPr>
                <w:color w:val="000000"/>
                <w:sz w:val="21"/>
              </w:rPr>
              <m:t>o</m:t>
            </m:r>
            <m:r>
              <m:rPr>
                <m:sty m:val="i"/>
              </m:rPr>
              <w:rPr>
                <w:color w:val="000000"/>
                <w:sz w:val="21"/>
              </w:rPr>
              <m:t>m</m:t>
            </m:r>
          </m:sub>
        </m:sSub>
        <m:r>
          <m:rPr>
            <m:sty m:val="p"/>
          </m:rPr>
          <w:rPr>
            <w:color w:val="000000"/>
            <w:sz w:val="21"/>
          </w:rPr>
          <m:t>−</m:t>
        </m:r>
        <m:r>
          <m:rPr>
            <m:sty m:val="p"/>
          </m:rPr>
          <w:rPr>
            <w:color w:val="000000"/>
            <w:sz w:val="21"/>
          </w:rPr>
          <m:t>(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H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0</m:t>
            </m:r>
          </m:sub>
        </m:sSub>
        <m:r>
          <m:rPr>
            <m:sty m:val="p"/>
          </m:rPr>
          <w:rPr>
            <w:color w:val="000000"/>
            <w:sz w:val="21"/>
          </w:rPr>
          <m:t>−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acc>
              <m:accPr>
                <m:chr m:val="‾"/>
              </m:accPr>
              <m:e>
                <m:r>
                  <m:rPr>
                    <m:sty m:val="i"/>
                  </m:rPr>
                  <w:rPr>
                    <w:color w:val="000000"/>
                    <w:sz w:val="21"/>
                  </w:rPr>
                  <m:t>H</m:t>
                </m:r>
              </m:e>
            </m:acc>
          </m:e>
          <m:sub>
            <m:r>
              <m:rPr>
                <m:sty m:val="i"/>
              </m:rPr>
              <w:rPr>
                <w:color w:val="000000"/>
                <w:sz w:val="21"/>
              </w:rPr>
              <m:t>e</m:t>
            </m:r>
            <m:r>
              <m:rPr>
                <m:sty m:val="i"/>
              </m:rPr>
              <w:rPr>
                <w:color w:val="000000"/>
                <w:sz w:val="21"/>
              </w:rPr>
              <m:t>q</m:t>
            </m:r>
          </m:sub>
        </m:sSub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⋅</m:t>
        </m:r>
        <m:r>
          <m:rPr>
            <m:sty m:val="p"/>
          </m:rPr>
          <w:rPr>
            <w:color w:val="000000"/>
            <w:sz w:val="21"/>
          </w:rPr>
          <m:t>0.1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son heurísticas propias del código, no del paper. Los comentarios contienen restos de citas de IA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[cite: 1]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[cite: 15]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a limpiar.</w:t>
      </w:r>
    </w:p>
    <w:p>
      <w:pPr>
        <w:numPr>
          <w:ilvl w:val="0"/>
          <w:numId w:val="3"/>
        </w:numPr>
        <w:spacing w:line="360" w:before="105" w:after="105" w:lineRule="auto"/>
      </w:pPr>
      <m:oMath>
        <m:r>
          <m:rPr>
            <m:sty m:val="i"/>
          </m:rPr>
          <w:rPr>
            <w:color w:val="000000"/>
            <w:sz w:val="21"/>
          </w:rPr>
          <m:t>α</m:t>
        </m:r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p"/>
          </m:rPr>
          <w:rPr>
            <w:color w:val="000000"/>
            <w:sz w:val="21"/>
          </w:rPr>
          <m:t>0.85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por defecto frente al 0.83 del paper original de Shinokura &amp; Takai (1982): necesita calibración/justificación por tipo de pasada, no es un error en sí.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Ángulo de mordedura calculado pero nunca contrastado con la fricción (</w:t>
      </w:r>
      <m:oMath>
        <m:r>
          <m:rPr>
            <m:sty m:val="i"/>
          </m:rPr>
          <w:rPr>
            <w:color w:val="000000"/>
            <w:sz w:val="21"/>
          </w:rPr>
          <m:t>μ</m:t>
        </m:r>
        <m:r>
          <m:rPr>
            <m:sty m:val="p"/>
          </m:rPr>
          <w:rPr>
            <w:color w:val="000000"/>
            <w:sz w:val="21"/>
          </w:rPr>
          <m:t>≥</m:t>
        </m:r>
        <m:r>
          <m:rPr>
            <m:sty m:val="p"/>
          </m:rPr>
          <w:rPr>
            <w:color w:val="000000"/>
            <w:sz w:val="21"/>
          </w:rPr>
          <m:t>tan</m:t>
        </m:r>
        <m:r>
          <m:rPr>
            <m:sty m:val="p"/>
          </m:rPr>
          <w:rPr>
            <w:color w:val="000000"/>
            <w:sz w:val="21"/>
          </w:rPr>
          <m:t>⁡</m:t>
        </m:r>
        <m:r>
          <m:rPr>
            <m:sty m:val="i"/>
          </m:rPr>
          <w:rPr>
            <w:color w:val="000000"/>
            <w:sz w:val="21"/>
          </w:rPr>
          <m:t>α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); sin aviso de agarre insuficiente.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Sin corrección por tensión entre cajas (Mauk).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Superficie libre: parábola fija </w:t>
      </w:r>
      <m:oMath>
        <m:r>
          <m:rPr>
            <m:sty m:val="i"/>
          </m:rPr>
          <w:rPr>
            <w:color w:val="000000"/>
            <w:sz w:val="21"/>
          </w:rPr>
          <m:t>y</m:t>
        </m:r>
        <m:r>
          <m:rPr>
            <m:sty m:val="p"/>
          </m:rPr>
          <w:rPr>
            <w:color w:val="000000"/>
            <w:sz w:val="21"/>
          </w:rPr>
          <m:t>=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y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c</m:t>
            </m:r>
            <m:r>
              <m:rPr>
                <m:sty m:val="i"/>
              </m:rPr>
              <w:rPr>
                <w:color w:val="000000"/>
                <w:sz w:val="21"/>
              </w:rPr>
              <m:t>o</m:t>
            </m:r>
            <m:r>
              <m:rPr>
                <m:sty m:val="i"/>
              </m:rPr>
              <w:rPr>
                <w:color w:val="000000"/>
                <w:sz w:val="21"/>
              </w:rPr>
              <m:t>n</m:t>
            </m:r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sub>
        </m:sSub>
        <m:r>
          <m:rPr>
            <m:sty m:val="p"/>
          </m:rPr>
          <w:rPr>
            <w:color w:val="000000"/>
            <w:sz w:val="21"/>
          </w:rPr>
          <m:t>−</m:t>
        </m:r>
        <m:r>
          <m:rPr>
            <m:sty m:val="p"/>
          </m:rPr>
          <w:rPr>
            <w:color w:val="000000"/>
            <w:sz w:val="21"/>
          </w:rPr>
          <m:t>(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y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c</m:t>
            </m:r>
            <m:r>
              <m:rPr>
                <m:sty m:val="i"/>
              </m:rPr>
              <w:rPr>
                <w:color w:val="000000"/>
                <w:sz w:val="21"/>
              </w:rPr>
              <m:t>o</m:t>
            </m:r>
            <m:r>
              <m:rPr>
                <m:sty m:val="i"/>
              </m:rPr>
              <w:rPr>
                <w:color w:val="000000"/>
                <w:sz w:val="21"/>
              </w:rPr>
              <m:t>n</m:t>
            </m:r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sub>
        </m:sSub>
        <m:r>
          <m:rPr>
            <m:sty m:val="p"/>
          </m:rPr>
          <w:rPr>
            <w:color w:val="000000"/>
            <w:sz w:val="21"/>
          </w:rPr>
          <m:t>−</m:t>
        </m:r>
        <m:r>
          <m:rPr>
            <m:sty m:val="i"/>
          </m:rPr>
          <w:rPr>
            <w:color w:val="000000"/>
            <w:sz w:val="21"/>
          </w:rPr>
          <m:t>g</m:t>
        </m:r>
        <m:r>
          <m:rPr>
            <m:sty m:val="p"/>
          </m:rPr>
          <w:rPr>
            <w:color w:val="000000"/>
            <w:sz w:val="21"/>
          </w:rPr>
          <m:t>/</m:t>
        </m:r>
        <m:r>
          <m:rPr>
            <m:sty m:val="p"/>
          </m:rPr>
          <w:rPr>
            <w:color w:val="000000"/>
            <w:sz w:val="21"/>
          </w:rPr>
          <m:t>2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 xml:space="preserve"> </m:t>
        </m:r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2</m:t>
            </m:r>
          </m:sup>
        </m:sSup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, no la interpolación de radios de Shinokura (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R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S</m:t>
            </m:r>
          </m:sub>
        </m:sSub>
        <m:r>
          <m:rPr>
            <m:sty m:val="p"/>
          </m:rPr>
          <w:rPr>
            <w:color w:val="000000"/>
            <w:sz w:val="21"/>
          </w:rPr>
          <m:t>=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R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W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sub>
        </m:sSub>
        <m:r>
          <m:rPr>
            <m:sty m:val="p"/>
          </m:rPr>
          <w:rPr>
            <w:color w:val="000000"/>
            <w:sz w:val="21"/>
          </w:rPr>
          <m:t>+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R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f</m:t>
            </m:r>
          </m:sub>
        </m:sSub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p"/>
          </m:rPr>
          <w:rPr>
            <w:color w:val="000000"/>
            <w:sz w:val="21"/>
          </w:rPr>
          <m:t>1</m:t>
        </m:r>
        <m:r>
          <m:rPr>
            <m:sty m:val="p"/>
          </m:rPr>
          <w:rPr>
            <w:color w:val="000000"/>
            <w:sz w:val="21"/>
          </w:rPr>
          <m:t>−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W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sub>
        </m:sSub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cilindro_RSM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el parámetro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(2 o 3) es el multiplicador del radio secundario (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r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2</m:t>
            </m:r>
          </m:sub>
        </m:sSub>
        <m:r>
          <m:rPr>
            <m:sty m:val="p"/>
          </m:rPr>
          <w:rPr>
            <w:color w:val="000000"/>
            <w:sz w:val="21"/>
          </w:rPr>
          <m:t>=</m:t>
        </m:r>
        <m:r>
          <m:rPr>
            <m:sty m:val="i"/>
          </m:rPr>
          <w:rPr>
            <w:color w:val="000000"/>
            <w:sz w:val="21"/>
          </w:rPr>
          <m:t>n</m:t>
        </m:r>
        <m:r>
          <m:rPr>
            <m:sty m:val="p"/>
          </m:rPr>
          <w:rPr>
            <w:color w:val="000000"/>
            <w:sz w:val="21"/>
          </w:rPr>
          <m:t>⋅</m:t>
        </m:r>
        <m:r>
          <m:rPr>
            <m:sty m:val="i"/>
          </m:rPr>
          <w:rPr>
            <w:color w:val="000000"/>
            <w:sz w:val="21"/>
          </w:rPr>
          <m:t>R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),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el número de rodillos; no deducir "RSM de 2 o 3 rodillos" de ese dato.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cilindro_ovalo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el parámetro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r_fijo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del JSON se ignora; el radio de suavizado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r_calculado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 deriva de las condiciones de tangencia.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bm_6_prioridad_de_corrección_recomendad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Prioridad de corrección recomendada</w:t>
      </w:r>
      <w:bookmarkEnd w:id="20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H1 (luz en el ensanchamiento) y H2 (rotación conservativa) — afectan a todos los resultados.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H3 + H5 (chequeos de llenado y de cabida: filling % con aviso; rechazar entradas que no caben).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H4 (conservación de volumen: construir la salida con λ y Δb coherentes, no desde el contorno).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H8 (cargar JSON de luces y radios reales por caja/grupo).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H6, H7, H9, H10, H11, H12 (limpieza y consistencia).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Validación recomendada tras corregir: benchmark cruzado con PyRolL (el adaptador ya existe 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pyroll_bridge/</w:t>
      </w:r>
      <w:r>
        <w:rPr>
          <w:rFonts w:eastAsia="source serif 4" w:cs="source serif 4" w:ascii="source serif 4" w:hAnsi="source serif 4"/>
          <w:color w:val="000000"/>
        </w:rPr>
        <w:t xml:space="preserve">) y, en última instancia, secciones medidas de planta.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2026-10-24T10:37:52.020Z</dcterms:created>
  <dcterms:modified xsi:type="dcterms:W3CDTF">2026-10-24T10:37:52.020Z</dcterms:modified>
</cp:coreProperties>
</file>