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bCs/>
          <w:sz w:val="20"/>
          <w:szCs w:val="20"/>
        </w:rPr>
        <w:t xml:space="preserve">⚠️ WORKING PAPER – STRICT COPYRIGHT RESTRICTIONS</w:t>
      </w:r>
      <w:r>
        <w:br/>
      </w:r>
      <w:r>
        <w:br/>
      </w:r>
      <w:r>
        <w:rPr>
          <w:b/>
          <w:bCs/>
          <w:sz w:val="20"/>
          <w:szCs w:val="20"/>
        </w:rPr>
        <w:t xml:space="preserve">This document is a preliminary working paper and is subject to strict usage restrictions:</w:t>
      </w:r>
      <w:r>
        <w:br/>
      </w:r>
      <w:r>
        <w:rPr>
          <w:b/>
          <w:bCs/>
          <w:sz w:val="20"/>
          <w:szCs w:val="20"/>
        </w:rPr>
        <w:t xml:space="preserve">Any use—including citation, copying, or distribution—requires prior written permission from the authors.</w:t>
      </w:r>
      <w:r>
        <w:br/>
      </w:r>
      <w:r>
        <w:rPr>
          <w:b/>
          <w:bCs/>
          <w:sz w:val="20"/>
          <w:szCs w:val="20"/>
        </w:rPr>
        <w:t xml:space="preserve">Unauthorized reproduction or commercial exploitation is explicitly prohibited and will be pursued legally.</w:t>
      </w:r>
      <w:r>
        <w:br/>
      </w:r>
      <w:r>
        <w:br/>
      </w:r>
      <w:r>
        <w:rPr>
          <w:b/>
          <w:bCs/>
          <w:sz w:val="20"/>
          <w:szCs w:val="20"/>
        </w:rPr>
        <w:t xml:space="preserve">(As of: December 2025 | Contact: mail@error.wtf)</w:t>
      </w:r>
    </w:p>
    <w:p>
      <w:pPr>
        <w:pBdr>
          <w:bottom w:val="single" w:sz="12" w:space="1" w:color="000000"/>
        </w:pBdr>
        <w:spacing w:after="200"/>
      </w:pPr>
    </w:p>
    <w:p w14:paraId="4BDD249D" w14:textId="77777777" w:rsidR="00C879EE" w:rsidRPr="004F74A4" w:rsidRDefault="00000000">
      <w:pPr>
        <w:spacing w:after="134" w:line="259" w:lineRule="auto"/>
        <w:ind w:left="0" w:firstLine="0"/>
        <w:rPr>
          <w:lang w:val="en-US"/>
        </w:rPr>
      </w:pPr>
      <w:r w:rsidRPr="004F74A4">
        <w:rPr>
          <w:rFonts w:ascii="Calibri" w:eastAsia="Calibri" w:hAnsi="Calibri" w:cs="Calibri"/>
          <w:b/>
          <w:color w:val="4F81BD"/>
          <w:sz w:val="32"/>
          <w:lang w:val="en-US"/>
        </w:rPr>
        <w:t xml:space="preserve">Segmented Spacetime Geometry for Qubit Optimization </w:t>
      </w:r>
    </w:p>
    <w:p w14:paraId="7DD28834" w14:textId="77777777" w:rsidR="00C879EE" w:rsidRPr="004F74A4" w:rsidRDefault="00000000">
      <w:pPr>
        <w:pStyle w:val="berschrift1"/>
        <w:numPr>
          <w:ilvl w:val="0"/>
          <w:numId w:val="0"/>
        </w:numPr>
        <w:ind w:left="-5"/>
        <w:rPr>
          <w:lang w:val="en-US"/>
        </w:rPr>
      </w:pPr>
      <w:r w:rsidRPr="004F74A4">
        <w:rPr>
          <w:lang w:val="en-US"/>
        </w:rPr>
        <w:t xml:space="preserve">Authors </w:t>
      </w:r>
    </w:p>
    <w:p w14:paraId="10C025AF" w14:textId="77777777" w:rsidR="00C879EE" w:rsidRPr="004F74A4" w:rsidRDefault="00000000">
      <w:pPr>
        <w:spacing w:after="10" w:line="250" w:lineRule="auto"/>
        <w:ind w:left="0" w:firstLine="0"/>
        <w:rPr>
          <w:lang w:val="en-US"/>
        </w:rPr>
      </w:pPr>
      <w:r w:rsidRPr="004F74A4">
        <w:rPr>
          <w:b/>
          <w:lang w:val="en-US"/>
        </w:rPr>
        <w:t>Lino Casu, Carmen Wrede and Bingsi</w:t>
      </w:r>
      <w:r w:rsidRPr="004F74A4">
        <w:rPr>
          <w:lang w:val="en-US"/>
        </w:rPr>
        <w:t xml:space="preserve"> </w:t>
      </w:r>
    </w:p>
    <w:p w14:paraId="3672688A" w14:textId="77777777" w:rsidR="00C879EE" w:rsidRPr="004F74A4" w:rsidRDefault="00000000">
      <w:pPr>
        <w:spacing w:after="225"/>
        <w:ind w:left="-5"/>
        <w:rPr>
          <w:lang w:val="en-US"/>
        </w:rPr>
      </w:pPr>
      <w:r w:rsidRPr="004F74A4">
        <w:rPr>
          <w:b/>
          <w:lang w:val="en-US"/>
        </w:rPr>
        <w:t>Date:</w:t>
      </w:r>
      <w:r w:rsidRPr="004F74A4">
        <w:rPr>
          <w:lang w:val="en-US"/>
        </w:rPr>
        <w:t xml:space="preserve"> December 2025 </w:t>
      </w:r>
    </w:p>
    <w:p w14:paraId="5E21584A" w14:textId="77777777" w:rsidR="00C879EE" w:rsidRPr="004F74A4" w:rsidRDefault="00000000">
      <w:pPr>
        <w:pStyle w:val="berschrift1"/>
        <w:numPr>
          <w:ilvl w:val="0"/>
          <w:numId w:val="0"/>
        </w:numPr>
        <w:ind w:left="-5"/>
        <w:rPr>
          <w:lang w:val="en-US"/>
        </w:rPr>
        <w:pageBreakBefore/>
      </w:pPr>
      <w:r w:rsidRPr="004F74A4">
        <w:rPr>
          <w:lang w:val="en-US"/>
        </w:rPr>
        <w:t xml:space="preserve">Abstract </w:t>
      </w:r>
    </w:p>
    <w:p w14:paraId="4044E6C6" w14:textId="77777777" w:rsidR="00C879EE" w:rsidRPr="004F74A4" w:rsidRDefault="00000000">
      <w:pPr>
        <w:spacing w:after="0"/>
        <w:ind w:left="-5"/>
        <w:rPr>
          <w:lang w:val="en-US"/>
        </w:rPr>
      </w:pPr>
      <w:r w:rsidRPr="004F74A4">
        <w:rPr>
          <w:lang w:val="en-US"/>
        </w:rPr>
        <w:t xml:space="preserve">Modern quantum processors hold the promise of exponential speed‑ups for tasks such as factoring large integers and simulating strongly correlated materials. Yet achieving fault‑tolerant computation remains an open challenge. Beyond stochastic decoherence, existing hardware shows unexplained drifts in gate timing and phase accumulation. In this work we develop a Segmented Spacetime (SSZ) framework to address this problem. SSZ posits that the weak gravitational field near Earth is discretised into segments characterised by a local segment density. We derive simple formulae for the segment density </w:t>
      </w:r>
      <w:r>
        <w:t>Ξ</w:t>
      </w:r>
      <w:r w:rsidRPr="004F74A4">
        <w:rPr>
          <w:lang w:val="en-US"/>
        </w:rPr>
        <w:t xml:space="preserve">(r) and the associated time‑dilation factor (D_SSZ(r)), and show that micrometre‑to‑millimetre height differences between qubits produce deterministic, geometric phase shifts on the order of (10⁻¹⁹) seconds per second per millimetre. Although individually tiny, these shifts can in principle accumulate across millions of gates and may constitute an unmodelled deterministic contribution to systematic phase bias (subdominant at Earth-scale; see Sec. 6 for detectability). We calculate critical scales, introduce the concept of segment‑coherent zones, derive gate timing correction formulas, and perform realistic 16‑qubit simulations in Qiskit. We also outline experimental protocols for verifying </w:t>
      </w:r>
    </w:p>
    <w:p w14:paraId="2E56163E" w14:textId="77777777" w:rsidR="00C879EE" w:rsidRPr="004F74A4" w:rsidRDefault="00000000">
      <w:pPr>
        <w:ind w:left="-5"/>
        <w:rPr>
          <w:lang w:val="en-US"/>
        </w:rPr>
      </w:pPr>
      <w:r w:rsidRPr="004F74A4">
        <w:rPr>
          <w:lang w:val="en-US"/>
        </w:rPr>
        <w:t xml:space="preserve">SSZ predictions on superconducting and trapped‑ion platforms. Our results indicate that SSZ corrections can, under didactic scaling (S=10⁸), improve gate fidelities by ~0.1% and reduce systematic errors ten-fold in stress-test simulations. Any quoted fidelity changes refer to the scaled regime and are not predictions for present-day Earth-scale devices (S=1), and are straightforward at the software level; detectability is limited by present noise floors through software without hardware changes. Important caveat: All simulation results use a didactic scaling factor S = 10⁸; the true Earth-scale fidelity impact is ~10⁻²¹, far below current thresholds (see Sec. 6). Set S = 1 for real-world predictions. This paper provides a comprehensive, accessible introduction to SSZ, demonstrating how spacetime geometry influences qubit performance and how the framework can be constrained today (upper bounds) and directly tested in the optical-clock detection regime. </w:t>
      </w:r>
    </w:p>
    <w:p w14:paraId="37A019F9" w14:textId="77777777" w:rsidR="00C879EE" w:rsidRPr="004F74A4" w:rsidRDefault="00000000">
      <w:pPr>
        <w:spacing w:after="0" w:line="391" w:lineRule="auto"/>
        <w:ind w:left="0" w:right="9350" w:firstLine="0"/>
        <w:rPr>
          <w:lang w:val="en-US"/>
        </w:rPr>
      </w:pPr>
      <w:r w:rsidRPr="004F74A4">
        <w:rPr>
          <w:lang w:val="en-US"/>
        </w:rPr>
        <w:t xml:space="preserve">        </w:t>
      </w:r>
    </w:p>
    <w:p w14:paraId="141129F2" w14:textId="77777777" w:rsidR="00C879EE" w:rsidRDefault="00000000">
      <w:pPr>
        <w:pStyle w:val="berschrift1"/>
        <w:ind w:left="381" w:hanging="396"/>
        <w:pageBreakBefore/>
      </w:pPr>
      <w:r>
        <w:t xml:space="preserve">Introduction </w:t>
      </w:r>
    </w:p>
    <w:p w14:paraId="7182DD23" w14:textId="77777777" w:rsidR="00C879EE" w:rsidRDefault="00000000">
      <w:pPr>
        <w:pStyle w:val="berschrift2"/>
        <w:ind w:left="511" w:hanging="526"/>
      </w:pPr>
      <w:r>
        <w:t xml:space="preserve">Quantum computing challenges </w:t>
      </w:r>
    </w:p>
    <w:p w14:paraId="446A78B5" w14:textId="77777777" w:rsidR="00C879EE" w:rsidRPr="004F74A4" w:rsidRDefault="00000000">
      <w:pPr>
        <w:spacing w:after="214"/>
        <w:ind w:left="-5"/>
        <w:rPr>
          <w:lang w:val="en-US"/>
        </w:rPr>
      </w:pPr>
      <w:r w:rsidRPr="004F74A4">
        <w:rPr>
          <w:lang w:val="en-US"/>
        </w:rPr>
        <w:t xml:space="preserve">Quantum computers promise to solve certain problems exponentially faster than classical machines. Shor’s algorithm factors large integers in polynomial time (Shor 1995), and quantum simulation promises insight into complex many‑body systems (Preskill 2018). Present platforms, however, suffer from decoherence and control errors. </w:t>
      </w:r>
      <w:r w:rsidRPr="004F74A4">
        <w:rPr>
          <w:b/>
          <w:lang w:val="en-US"/>
        </w:rPr>
        <w:t>Fault tolerance</w:t>
      </w:r>
      <w:r w:rsidRPr="004F74A4">
        <w:rPr>
          <w:lang w:val="en-US"/>
        </w:rPr>
        <w:t xml:space="preserve"> demands error rates below (10⁻⁴) and long coherence times (T_2) of hundreds of microseconds to milliseconds (Fowler et al. 2012). Table 1 summarises representative parameters for current superconducting and trapped‑ion devices. </w:t>
      </w:r>
    </w:p>
    <w:p w14:paraId="43A58E4C" w14:textId="77777777" w:rsidR="00C879EE" w:rsidRPr="004F74A4" w:rsidRDefault="00000000">
      <w:pPr>
        <w:tabs>
          <w:tab w:val="center" w:pos="3725"/>
          <w:tab w:val="center" w:pos="5854"/>
        </w:tabs>
        <w:spacing w:after="0" w:line="259" w:lineRule="auto"/>
        <w:ind w:left="0" w:firstLine="0"/>
        <w:rPr>
          <w:lang w:val="en-US"/>
        </w:rPr>
      </w:pPr>
      <w:r w:rsidRPr="004F74A4">
        <w:rPr>
          <w:rFonts w:ascii="Calibri" w:eastAsia="Calibri" w:hAnsi="Calibri" w:cs="Calibri"/>
          <w:sz w:val="22"/>
          <w:lang w:val="en-US"/>
        </w:rPr>
        <w:tab/>
      </w:r>
      <w:r w:rsidRPr="004F74A4">
        <w:rPr>
          <w:lang w:val="en-US"/>
        </w:rPr>
        <w:t xml:space="preserve">Coherence </w:t>
      </w:r>
      <w:r w:rsidRPr="004F74A4">
        <w:rPr>
          <w:lang w:val="en-US"/>
        </w:rPr>
        <w:tab/>
        <w:t xml:space="preserve">Single‑qubit gate </w:t>
      </w:r>
    </w:p>
    <w:p w14:paraId="4150CB95" w14:textId="77777777" w:rsidR="00C879EE" w:rsidRPr="004F74A4" w:rsidRDefault="00000000">
      <w:pPr>
        <w:tabs>
          <w:tab w:val="center" w:pos="2630"/>
          <w:tab w:val="center" w:pos="3715"/>
          <w:tab w:val="center" w:pos="5351"/>
          <w:tab w:val="center" w:pos="7531"/>
        </w:tabs>
        <w:spacing w:after="11"/>
        <w:ind w:left="0" w:firstLine="0"/>
        <w:rPr>
          <w:lang w:val="en-US"/>
        </w:rPr>
      </w:pPr>
      <w:r w:rsidRPr="004F74A4">
        <w:rPr>
          <w:lang w:val="en-US"/>
        </w:rPr>
        <w:t xml:space="preserve">Platform </w:t>
      </w:r>
      <w:r w:rsidRPr="004F74A4">
        <w:rPr>
          <w:lang w:val="en-US"/>
        </w:rPr>
        <w:tab/>
        <w:t xml:space="preserve">Qubits </w:t>
      </w:r>
      <w:r w:rsidRPr="004F74A4">
        <w:rPr>
          <w:lang w:val="en-US"/>
        </w:rPr>
        <w:tab/>
        <w:t xml:space="preserve">time (T_2) </w:t>
      </w:r>
      <w:r w:rsidRPr="004F74A4">
        <w:rPr>
          <w:lang w:val="en-US"/>
        </w:rPr>
        <w:tab/>
        <w:t xml:space="preserve">fidelity </w:t>
      </w:r>
      <w:r w:rsidRPr="004F74A4">
        <w:rPr>
          <w:lang w:val="en-US"/>
        </w:rPr>
        <w:tab/>
        <w:t xml:space="preserve">Reference </w:t>
      </w:r>
    </w:p>
    <w:p w14:paraId="539EE207" w14:textId="77777777" w:rsidR="00C879EE" w:rsidRDefault="00000000">
      <w:pPr>
        <w:spacing w:after="39" w:line="259" w:lineRule="auto"/>
        <w:ind w:left="0" w:firstLine="0"/>
        <w:jc w:val="center"/>
      </w:pPr>
      <w:r>
        <w:rPr>
          <w:rFonts w:ascii="Calibri" w:eastAsia="Calibri" w:hAnsi="Calibri" w:cs="Calibri"/>
          <w:noProof/>
          <w:sz w:val="22"/>
        </w:rPr>
        <mc:AlternateContent>
          <mc:Choice Requires="wpg">
            <w:drawing>
              <wp:inline distT="0" distB="0" distL="0" distR="0" wp14:anchorId="07CF13C5" wp14:editId="2E36243D">
                <wp:extent cx="5827091" cy="1524"/>
                <wp:effectExtent l="0" t="0" r="0" b="0"/>
                <wp:docPr id="19088" name="Group 19088"/>
                <wp:cNvGraphicFramePr/>
                <a:graphic xmlns:a="http://schemas.openxmlformats.org/drawingml/2006/main">
                  <a:graphicData uri="http://schemas.microsoft.com/office/word/2010/wordprocessingGroup">
                    <wpg:wgp>
                      <wpg:cNvGrpSpPr/>
                      <wpg:grpSpPr>
                        <a:xfrm>
                          <a:off x="0" y="0"/>
                          <a:ext cx="5827091" cy="1524"/>
                          <a:chOff x="0" y="0"/>
                          <a:chExt cx="5827091" cy="1524"/>
                        </a:xfrm>
                      </wpg:grpSpPr>
                      <wps:wsp>
                        <wps:cNvPr id="24566" name="Shape 24566"/>
                        <wps:cNvSpPr/>
                        <wps:spPr>
                          <a:xfrm>
                            <a:off x="0" y="0"/>
                            <a:ext cx="1386840" cy="9144"/>
                          </a:xfrm>
                          <a:custGeom>
                            <a:avLst/>
                            <a:gdLst/>
                            <a:ahLst/>
                            <a:cxnLst/>
                            <a:rect l="0" t="0" r="0" b="0"/>
                            <a:pathLst>
                              <a:path w="1386840" h="9144">
                                <a:moveTo>
                                  <a:pt x="0" y="0"/>
                                </a:moveTo>
                                <a:lnTo>
                                  <a:pt x="1386840" y="0"/>
                                </a:lnTo>
                                <a:lnTo>
                                  <a:pt x="13868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567" name="Shape 24567"/>
                        <wps:cNvSpPr/>
                        <wps:spPr>
                          <a:xfrm>
                            <a:off x="138678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568" name="Shape 24568"/>
                        <wps:cNvSpPr/>
                        <wps:spPr>
                          <a:xfrm>
                            <a:off x="1388313" y="0"/>
                            <a:ext cx="562661" cy="9144"/>
                          </a:xfrm>
                          <a:custGeom>
                            <a:avLst/>
                            <a:gdLst/>
                            <a:ahLst/>
                            <a:cxnLst/>
                            <a:rect l="0" t="0" r="0" b="0"/>
                            <a:pathLst>
                              <a:path w="562661" h="9144">
                                <a:moveTo>
                                  <a:pt x="0" y="0"/>
                                </a:moveTo>
                                <a:lnTo>
                                  <a:pt x="562661" y="0"/>
                                </a:lnTo>
                                <a:lnTo>
                                  <a:pt x="5626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569" name="Shape 24569"/>
                        <wps:cNvSpPr/>
                        <wps:spPr>
                          <a:xfrm>
                            <a:off x="195105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570" name="Shape 24570"/>
                        <wps:cNvSpPr/>
                        <wps:spPr>
                          <a:xfrm>
                            <a:off x="1952574" y="0"/>
                            <a:ext cx="1146048" cy="9144"/>
                          </a:xfrm>
                          <a:custGeom>
                            <a:avLst/>
                            <a:gdLst/>
                            <a:ahLst/>
                            <a:cxnLst/>
                            <a:rect l="0" t="0" r="0" b="0"/>
                            <a:pathLst>
                              <a:path w="1146048" h="9144">
                                <a:moveTo>
                                  <a:pt x="0" y="0"/>
                                </a:moveTo>
                                <a:lnTo>
                                  <a:pt x="1146048" y="0"/>
                                </a:lnTo>
                                <a:lnTo>
                                  <a:pt x="11460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571" name="Shape 24571"/>
                        <wps:cNvSpPr/>
                        <wps:spPr>
                          <a:xfrm>
                            <a:off x="309862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572" name="Shape 24572"/>
                        <wps:cNvSpPr/>
                        <wps:spPr>
                          <a:xfrm>
                            <a:off x="3100146" y="0"/>
                            <a:ext cx="1286510" cy="9144"/>
                          </a:xfrm>
                          <a:custGeom>
                            <a:avLst/>
                            <a:gdLst/>
                            <a:ahLst/>
                            <a:cxnLst/>
                            <a:rect l="0" t="0" r="0" b="0"/>
                            <a:pathLst>
                              <a:path w="1286510" h="9144">
                                <a:moveTo>
                                  <a:pt x="0" y="0"/>
                                </a:moveTo>
                                <a:lnTo>
                                  <a:pt x="1286510" y="0"/>
                                </a:lnTo>
                                <a:lnTo>
                                  <a:pt x="12865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573" name="Shape 24573"/>
                        <wps:cNvSpPr/>
                        <wps:spPr>
                          <a:xfrm>
                            <a:off x="438665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574" name="Shape 24574"/>
                        <wps:cNvSpPr/>
                        <wps:spPr>
                          <a:xfrm>
                            <a:off x="4388180" y="0"/>
                            <a:ext cx="1438910" cy="9144"/>
                          </a:xfrm>
                          <a:custGeom>
                            <a:avLst/>
                            <a:gdLst/>
                            <a:ahLst/>
                            <a:cxnLst/>
                            <a:rect l="0" t="0" r="0" b="0"/>
                            <a:pathLst>
                              <a:path w="1438910" h="9144">
                                <a:moveTo>
                                  <a:pt x="0" y="0"/>
                                </a:moveTo>
                                <a:lnTo>
                                  <a:pt x="1438910" y="0"/>
                                </a:lnTo>
                                <a:lnTo>
                                  <a:pt x="14389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9088" style="width:458.826pt;height:0.119995pt;mso-position-horizontal-relative:char;mso-position-vertical-relative:line" coordsize="58270,15">
                <v:shape id="Shape 24575" style="position:absolute;width:13868;height:91;left:0;top:0;" coordsize="1386840,9144" path="m0,0l1386840,0l1386840,9144l0,9144l0,0">
                  <v:stroke weight="0pt" endcap="flat" joinstyle="miter" miterlimit="10" on="false" color="#000000" opacity="0"/>
                  <v:fill on="true" color="#000000"/>
                </v:shape>
                <v:shape id="Shape 24576" style="position:absolute;width:91;height:91;left:13867;top:0;" coordsize="9144,9144" path="m0,0l9144,0l9144,9144l0,9144l0,0">
                  <v:stroke weight="0pt" endcap="flat" joinstyle="miter" miterlimit="10" on="false" color="#000000" opacity="0"/>
                  <v:fill on="true" color="#000000"/>
                </v:shape>
                <v:shape id="Shape 24577" style="position:absolute;width:5626;height:91;left:13883;top:0;" coordsize="562661,9144" path="m0,0l562661,0l562661,9144l0,9144l0,0">
                  <v:stroke weight="0pt" endcap="flat" joinstyle="miter" miterlimit="10" on="false" color="#000000" opacity="0"/>
                  <v:fill on="true" color="#000000"/>
                </v:shape>
                <v:shape id="Shape 24578" style="position:absolute;width:91;height:91;left:19510;top:0;" coordsize="9144,9144" path="m0,0l9144,0l9144,9144l0,9144l0,0">
                  <v:stroke weight="0pt" endcap="flat" joinstyle="miter" miterlimit="10" on="false" color="#000000" opacity="0"/>
                  <v:fill on="true" color="#000000"/>
                </v:shape>
                <v:shape id="Shape 24579" style="position:absolute;width:11460;height:91;left:19525;top:0;" coordsize="1146048,9144" path="m0,0l1146048,0l1146048,9144l0,9144l0,0">
                  <v:stroke weight="0pt" endcap="flat" joinstyle="miter" miterlimit="10" on="false" color="#000000" opacity="0"/>
                  <v:fill on="true" color="#000000"/>
                </v:shape>
                <v:shape id="Shape 24580" style="position:absolute;width:91;height:91;left:30986;top:0;" coordsize="9144,9144" path="m0,0l9144,0l9144,9144l0,9144l0,0">
                  <v:stroke weight="0pt" endcap="flat" joinstyle="miter" miterlimit="10" on="false" color="#000000" opacity="0"/>
                  <v:fill on="true" color="#000000"/>
                </v:shape>
                <v:shape id="Shape 24581" style="position:absolute;width:12865;height:91;left:31001;top:0;" coordsize="1286510,9144" path="m0,0l1286510,0l1286510,9144l0,9144l0,0">
                  <v:stroke weight="0pt" endcap="flat" joinstyle="miter" miterlimit="10" on="false" color="#000000" opacity="0"/>
                  <v:fill on="true" color="#000000"/>
                </v:shape>
                <v:shape id="Shape 24582" style="position:absolute;width:91;height:91;left:43866;top:0;" coordsize="9144,9144" path="m0,0l9144,0l9144,9144l0,9144l0,0">
                  <v:stroke weight="0pt" endcap="flat" joinstyle="miter" miterlimit="10" on="false" color="#000000" opacity="0"/>
                  <v:fill on="true" color="#000000"/>
                </v:shape>
                <v:shape id="Shape 24583" style="position:absolute;width:14389;height:91;left:43881;top:0;" coordsize="1438910,9144" path="m0,0l1438910,0l1438910,9144l0,9144l0,0">
                  <v:stroke weight="0pt" endcap="flat" joinstyle="miter" miterlimit="10" on="false" color="#000000" opacity="0"/>
                  <v:fill on="true" color="#000000"/>
                </v:shape>
              </v:group>
            </w:pict>
          </mc:Fallback>
        </mc:AlternateContent>
      </w:r>
    </w:p>
    <w:tbl>
      <w:tblPr>
        <w:tblStyle w:val="TableGrid"/>
        <w:tblLook w:val="04A0" w:firstRow="1" w:lastRow="0" w:firstColumn="1" w:lastColumn="0" w:noHBand="0" w:noVBand="1"/>
        <w:tblW w:w="5000" w:type="pct"/>
        <w:tblLayout w:type="autofit"/>
        <w:jc w:val="center"/>
        <w:tblBorders>
          <w:top w:val="single" w:sz="6" w:space="0" w:color="4472C4"/>
          <w:left w:val="single" w:sz="6" w:space="0" w:color="4472C4"/>
          <w:bottom w:val="single" w:sz="6" w:space="0" w:color="4472C4"/>
          <w:right w:val="single" w:sz="6" w:space="0" w:color="4472C4"/>
          <w:insideH w:val="single" w:sz="4" w:space="0" w:color="8EAADB"/>
          <w:insideV w:val="single" w:sz="4" w:space="0" w:color="8EAADB"/>
        </w:tblBorders>
        <w:tblCellMar>
          <w:top w:w="40" w:type="dxa"/>
          <w:left w:w="80" w:type="dxa"/>
          <w:bottom w:w="40" w:type="dxa"/>
          <w:right w:w="80" w:type="dxa"/>
        </w:tblCellMar>
      </w:tblPr>
      <w:tblGrid>
        <w:gridCol/>
        <w:gridCol/>
        <w:gridCol/>
        <w:gridCol/>
        <w:gridCol/>
      </w:tblGrid>
      <w:tr w:rsidR="00C879EE" w14:paraId="262986FA" w14:textId="77777777">
        <w:trPr>
          <w:trHeight w:val="679"/>
        </w:trPr>
        <w:tc>
          <w:tcPr>
            <w:tcW w:w="1000" w:type="pct"/>
            <w:tcBorders>
              <w:top w:val="single" w:sz="4" w:space="0" w:color="8EAADB"/>
              <w:left w:val="single" w:sz="4" w:space="0" w:color="8EAADB"/>
              <w:bottom w:val="single" w:sz="4" w:space="0" w:color="8EAADB"/>
              <w:right w:val="single" w:sz="4" w:space="0" w:color="8EAADB"/>
            </w:tcBorders>
            <w:vAlign w:val="center"/>
            <w:shd w:val="clear" w:color="auto" w:fill="D9E2F3"/>
          </w:tcPr>
          <w:p w14:paraId="11520AA6" w14:textId="77777777" w:rsidR="00C879EE" w:rsidRDefault="00000000">
            <w:pPr>
              <w:spacing w:after="0" w:line="259" w:lineRule="auto"/>
              <w:ind w:left="0" w:firstLine="0"/>
            </w:pPr>
            <w:r>
              <w:rPr>
                <w:b/>
              </w:rPr>
              <w:lastRenderedPageBreak/>
              <w:t xml:space="preserve">IBM Quantum </w:t>
            </w:r>
          </w:p>
          <w:p w14:paraId="136F4F8F" w14:textId="77777777" w:rsidR="00C879EE" w:rsidRDefault="00000000">
            <w:pPr>
              <w:spacing w:after="0" w:line="259" w:lineRule="auto"/>
              <w:ind w:left="0" w:firstLine="0"/>
            </w:pPr>
            <w:r>
              <w:rPr>
                <w:b/>
              </w:rPr>
              <w:t xml:space="preserve">(Eagle) </w:t>
            </w:r>
          </w:p>
        </w:tc>
        <w:tc>
          <w:tcPr>
            <w:tcW w:w="1000" w:type="pct"/>
            <w:tcBorders>
              <w:top w:val="single" w:sz="4" w:space="0" w:color="8EAADB"/>
              <w:left w:val="single" w:sz="4" w:space="0" w:color="8EAADB"/>
              <w:bottom w:val="single" w:sz="4" w:space="0" w:color="8EAADB"/>
              <w:right w:val="single" w:sz="4" w:space="0" w:color="8EAADB"/>
            </w:tcBorders>
            <w:vAlign w:val="center"/>
            <w:shd w:val="clear" w:color="auto" w:fill="D9E2F3"/>
          </w:tcPr>
          <w:p w14:paraId="304BDED7" w14:textId="77777777" w:rsidR="00C879EE" w:rsidRDefault="00000000">
            <w:pPr>
              <w:spacing w:after="0" w:line="259" w:lineRule="auto"/>
              <w:ind w:left="0" w:firstLine="0"/>
            </w:pPr>
            <w:r>
              <w:rPr>
                <w:b/>
              </w:rPr>
              <w:t xml:space="preserve">127 </w:t>
            </w:r>
          </w:p>
        </w:tc>
        <w:tc>
          <w:tcPr>
            <w:tcW w:w="1000" w:type="pct"/>
            <w:tcBorders>
              <w:top w:val="single" w:sz="4" w:space="0" w:color="8EAADB"/>
              <w:left w:val="single" w:sz="4" w:space="0" w:color="8EAADB"/>
              <w:bottom w:val="single" w:sz="4" w:space="0" w:color="8EAADB"/>
              <w:right w:val="single" w:sz="4" w:space="0" w:color="8EAADB"/>
            </w:tcBorders>
            <w:vAlign w:val="center"/>
            <w:shd w:val="clear" w:color="auto" w:fill="D9E2F3"/>
          </w:tcPr>
          <w:p w14:paraId="69B0B94A" w14:textId="77777777" w:rsidR="00C879EE" w:rsidRDefault="00000000">
            <w:pPr>
              <w:spacing w:after="0" w:line="259" w:lineRule="auto"/>
              <w:ind w:left="0" w:firstLine="0"/>
            </w:pPr>
            <w:r>
              <w:rPr>
                <w:b/>
              </w:rPr>
              <w:t xml:space="preserve">100–200 µs </w:t>
            </w:r>
          </w:p>
        </w:tc>
        <w:tc>
          <w:tcPr>
            <w:tcW w:w="1000" w:type="pct"/>
            <w:tcBorders>
              <w:top w:val="single" w:sz="4" w:space="0" w:color="8EAADB"/>
              <w:left w:val="single" w:sz="4" w:space="0" w:color="8EAADB"/>
              <w:bottom w:val="single" w:sz="4" w:space="0" w:color="8EAADB"/>
              <w:right w:val="single" w:sz="4" w:space="0" w:color="8EAADB"/>
            </w:tcBorders>
            <w:vAlign w:val="center"/>
            <w:shd w:val="clear" w:color="auto" w:fill="D9E2F3"/>
          </w:tcPr>
          <w:p w14:paraId="3BC14E42" w14:textId="77777777" w:rsidR="00C879EE" w:rsidRDefault="00000000">
            <w:pPr>
              <w:spacing w:after="0" w:line="259" w:lineRule="auto"/>
              <w:ind w:left="0" w:firstLine="0"/>
            </w:pPr>
            <w:r>
              <w:rPr>
                <w:b/>
              </w:rPr>
              <w:t xml:space="preserve">99.85 % </w:t>
            </w:r>
          </w:p>
        </w:tc>
        <w:tc>
          <w:tcPr>
            <w:tcW w:w="1000" w:type="pct"/>
            <w:tcBorders>
              <w:top w:val="single" w:sz="4" w:space="0" w:color="8EAADB"/>
              <w:left w:val="single" w:sz="4" w:space="0" w:color="8EAADB"/>
              <w:bottom w:val="single" w:sz="4" w:space="0" w:color="8EAADB"/>
              <w:right w:val="single" w:sz="4" w:space="0" w:color="8EAADB"/>
            </w:tcBorders>
            <w:vAlign w:val="center"/>
            <w:shd w:val="clear" w:color="auto" w:fill="D9E2F3"/>
          </w:tcPr>
          <w:p w14:paraId="01E415EB" w14:textId="77777777" w:rsidR="00C879EE" w:rsidRDefault="00000000">
            <w:pPr>
              <w:spacing w:after="0" w:line="259" w:lineRule="auto"/>
              <w:ind w:left="0" w:firstLine="0"/>
            </w:pPr>
            <w:r>
              <w:rPr>
                <w:b/>
              </w:rPr>
              <w:t xml:space="preserve">(Quantum Zeitgeist 2025) </w:t>
            </w:r>
          </w:p>
        </w:tc>
      </w:tr>
      <w:tr w:rsidR="00C879EE" w14:paraId="6DDC7CAD" w14:textId="77777777">
        <w:trPr>
          <w:trHeight w:val="400"/>
        </w:trPr>
        <w:tc>
          <w:tcPr>
            <w:tcW w:w="1000" w:type="pct"/>
            <w:tcBorders>
              <w:top w:val="single" w:sz="4" w:space="0" w:color="8EAADB"/>
              <w:left w:val="single" w:sz="4" w:space="0" w:color="8EAADB"/>
              <w:bottom w:val="single" w:sz="4" w:space="0" w:color="8EAADB"/>
              <w:right w:val="single" w:sz="4" w:space="0" w:color="8EAADB"/>
            </w:tcBorders>
            <w:vAlign w:val="center"/>
          </w:tcPr>
          <w:p w14:paraId="222BFDEA" w14:textId="77777777" w:rsidR="00C879EE" w:rsidRDefault="00000000">
            <w:pPr>
              <w:spacing w:after="0" w:line="259" w:lineRule="auto"/>
              <w:ind w:left="0" w:firstLine="0"/>
            </w:pPr>
            <w:r>
              <w:t xml:space="preserve">Google Sycamore </w:t>
            </w:r>
          </w:p>
        </w:tc>
        <w:tc>
          <w:tcPr>
            <w:tcW w:w="1000" w:type="pct"/>
            <w:tcBorders>
              <w:top w:val="single" w:sz="4" w:space="0" w:color="8EAADB"/>
              <w:left w:val="single" w:sz="4" w:space="0" w:color="8EAADB"/>
              <w:bottom w:val="single" w:sz="4" w:space="0" w:color="8EAADB"/>
              <w:right w:val="single" w:sz="4" w:space="0" w:color="8EAADB"/>
            </w:tcBorders>
            <w:vAlign w:val="center"/>
          </w:tcPr>
          <w:p w14:paraId="0CB8C35E" w14:textId="77777777" w:rsidR="00C879EE" w:rsidRDefault="00000000">
            <w:pPr>
              <w:spacing w:after="0" w:line="259" w:lineRule="auto"/>
              <w:ind w:left="0" w:firstLine="0"/>
            </w:pPr>
            <w:r>
              <w:t xml:space="preserve">72 </w:t>
            </w:r>
          </w:p>
        </w:tc>
        <w:tc>
          <w:tcPr>
            <w:tcW w:w="1000" w:type="pct"/>
            <w:tcBorders>
              <w:top w:val="single" w:sz="4" w:space="0" w:color="8EAADB"/>
              <w:left w:val="single" w:sz="4" w:space="0" w:color="8EAADB"/>
              <w:bottom w:val="single" w:sz="4" w:space="0" w:color="8EAADB"/>
              <w:right w:val="single" w:sz="4" w:space="0" w:color="8EAADB"/>
            </w:tcBorders>
            <w:vAlign w:val="center"/>
          </w:tcPr>
          <w:p w14:paraId="272B99F5" w14:textId="77777777" w:rsidR="00C879EE" w:rsidRDefault="00000000">
            <w:pPr>
              <w:spacing w:after="0" w:line="259" w:lineRule="auto"/>
              <w:ind w:left="0" w:firstLine="0"/>
            </w:pPr>
            <w:r>
              <w:t xml:space="preserve">10–20 µs </w:t>
            </w:r>
          </w:p>
        </w:tc>
        <w:tc>
          <w:tcPr>
            <w:tcW w:w="1000" w:type="pct"/>
            <w:tcBorders>
              <w:top w:val="single" w:sz="4" w:space="0" w:color="8EAADB"/>
              <w:left w:val="single" w:sz="4" w:space="0" w:color="8EAADB"/>
              <w:bottom w:val="single" w:sz="4" w:space="0" w:color="8EAADB"/>
              <w:right w:val="single" w:sz="4" w:space="0" w:color="8EAADB"/>
            </w:tcBorders>
            <w:vAlign w:val="center"/>
          </w:tcPr>
          <w:p w14:paraId="4EBE174E" w14:textId="77777777" w:rsidR="00C879EE" w:rsidRDefault="00000000">
            <w:pPr>
              <w:spacing w:after="0" w:line="259" w:lineRule="auto"/>
              <w:ind w:left="0" w:firstLine="0"/>
            </w:pPr>
            <w:r>
              <w:t xml:space="preserve">99.4 % </w:t>
            </w:r>
          </w:p>
        </w:tc>
        <w:tc>
          <w:tcPr>
            <w:tcW w:w="1000" w:type="pct"/>
            <w:tcBorders>
              <w:top w:val="single" w:sz="4" w:space="0" w:color="8EAADB"/>
              <w:left w:val="single" w:sz="4" w:space="0" w:color="8EAADB"/>
              <w:bottom w:val="single" w:sz="4" w:space="0" w:color="8EAADB"/>
              <w:right w:val="single" w:sz="4" w:space="0" w:color="8EAADB"/>
            </w:tcBorders>
            <w:vAlign w:val="center"/>
          </w:tcPr>
          <w:p w14:paraId="6D90FA3A" w14:textId="77777777" w:rsidR="00C879EE" w:rsidRDefault="00000000">
            <w:pPr>
              <w:spacing w:after="0" w:line="259" w:lineRule="auto"/>
              <w:ind w:left="0" w:firstLine="0"/>
              <w:jc w:val="both"/>
            </w:pPr>
            <w:r>
              <w:t xml:space="preserve">(Arute et al. 2019) </w:t>
            </w:r>
          </w:p>
        </w:tc>
      </w:tr>
      <w:tr w:rsidR="00C879EE" w14:paraId="0C47C6C5" w14:textId="77777777">
        <w:trPr>
          <w:trHeight w:val="418"/>
        </w:trPr>
        <w:tc>
          <w:tcPr>
            <w:tcW w:w="1000" w:type="pct"/>
            <w:tcBorders>
              <w:top w:val="single" w:sz="4" w:space="0" w:color="8EAADB"/>
              <w:left w:val="single" w:sz="4" w:space="0" w:color="8EAADB"/>
              <w:bottom w:val="single" w:sz="4" w:space="0" w:color="8EAADB"/>
              <w:right w:val="single" w:sz="4" w:space="0" w:color="8EAADB"/>
            </w:tcBorders>
            <w:vAlign w:val="center"/>
            <w:shd w:val="clear" w:color="auto" w:fill="F2F6FC"/>
          </w:tcPr>
          <w:p w14:paraId="3EA7F18F" w14:textId="77777777" w:rsidR="00C879EE" w:rsidRDefault="00000000">
            <w:pPr>
              <w:spacing w:after="0" w:line="259" w:lineRule="auto"/>
              <w:ind w:left="0" w:firstLine="0"/>
            </w:pPr>
            <w:r>
              <w:t xml:space="preserve">Rigetti Aspen‑M </w:t>
            </w:r>
          </w:p>
        </w:tc>
        <w:tc>
          <w:tcPr>
            <w:tcW w:w="1000" w:type="pct"/>
            <w:tcBorders>
              <w:top w:val="single" w:sz="4" w:space="0" w:color="8EAADB"/>
              <w:left w:val="single" w:sz="4" w:space="0" w:color="8EAADB"/>
              <w:bottom w:val="single" w:sz="4" w:space="0" w:color="8EAADB"/>
              <w:right w:val="single" w:sz="4" w:space="0" w:color="8EAADB"/>
            </w:tcBorders>
            <w:vAlign w:val="center"/>
            <w:shd w:val="clear" w:color="auto" w:fill="F2F6FC"/>
          </w:tcPr>
          <w:p w14:paraId="4BEAC667" w14:textId="77777777" w:rsidR="00C879EE" w:rsidRDefault="00000000">
            <w:pPr>
              <w:spacing w:after="0" w:line="259" w:lineRule="auto"/>
              <w:ind w:left="0" w:firstLine="0"/>
            </w:pPr>
            <w:r>
              <w:t xml:space="preserve">80 </w:t>
            </w:r>
          </w:p>
        </w:tc>
        <w:tc>
          <w:tcPr>
            <w:tcW w:w="1000" w:type="pct"/>
            <w:tcBorders>
              <w:top w:val="single" w:sz="4" w:space="0" w:color="8EAADB"/>
              <w:left w:val="single" w:sz="4" w:space="0" w:color="8EAADB"/>
              <w:bottom w:val="single" w:sz="4" w:space="0" w:color="8EAADB"/>
              <w:right w:val="single" w:sz="4" w:space="0" w:color="8EAADB"/>
            </w:tcBorders>
            <w:vAlign w:val="center"/>
            <w:shd w:val="clear" w:color="auto" w:fill="F2F6FC"/>
          </w:tcPr>
          <w:p w14:paraId="08CA33E4" w14:textId="77777777" w:rsidR="00C879EE" w:rsidRDefault="00000000">
            <w:pPr>
              <w:spacing w:after="0" w:line="259" w:lineRule="auto"/>
              <w:ind w:left="0" w:firstLine="0"/>
            </w:pPr>
            <w:r>
              <w:t xml:space="preserve">20–50 µs </w:t>
            </w:r>
          </w:p>
        </w:tc>
        <w:tc>
          <w:tcPr>
            <w:tcW w:w="1000" w:type="pct"/>
            <w:tcBorders>
              <w:top w:val="single" w:sz="4" w:space="0" w:color="8EAADB"/>
              <w:left w:val="single" w:sz="4" w:space="0" w:color="8EAADB"/>
              <w:bottom w:val="single" w:sz="4" w:space="0" w:color="8EAADB"/>
              <w:right w:val="single" w:sz="4" w:space="0" w:color="8EAADB"/>
            </w:tcBorders>
            <w:vAlign w:val="center"/>
            <w:shd w:val="clear" w:color="auto" w:fill="F2F6FC"/>
          </w:tcPr>
          <w:p w14:paraId="50355678" w14:textId="77777777" w:rsidR="00C879EE" w:rsidRDefault="00000000">
            <w:pPr>
              <w:spacing w:after="0" w:line="259" w:lineRule="auto"/>
              <w:ind w:left="0" w:firstLine="0"/>
            </w:pPr>
            <w:r>
              <w:t xml:space="preserve">99.5 % </w:t>
            </w:r>
          </w:p>
        </w:tc>
        <w:tc>
          <w:tcPr>
            <w:tcW w:w="1000" w:type="pct"/>
            <w:tcBorders>
              <w:top w:val="single" w:sz="4" w:space="0" w:color="8EAADB"/>
              <w:left w:val="single" w:sz="4" w:space="0" w:color="8EAADB"/>
              <w:bottom w:val="single" w:sz="4" w:space="0" w:color="8EAADB"/>
              <w:right w:val="single" w:sz="4" w:space="0" w:color="8EAADB"/>
            </w:tcBorders>
            <w:vAlign w:val="center"/>
            <w:shd w:val="clear" w:color="auto" w:fill="F2F6FC"/>
          </w:tcPr>
          <w:p w14:paraId="29430C9E" w14:textId="77777777" w:rsidR="00C879EE" w:rsidRDefault="00000000">
            <w:pPr>
              <w:spacing w:after="0" w:line="259" w:lineRule="auto"/>
              <w:ind w:left="0" w:firstLine="0"/>
            </w:pPr>
            <w:r>
              <w:t xml:space="preserve">(Rigetti 2022) </w:t>
            </w:r>
          </w:p>
        </w:tc>
      </w:tr>
      <w:tr w:rsidR="00C879EE" w14:paraId="3F606E74" w14:textId="77777777">
        <w:trPr>
          <w:trHeight w:val="481"/>
        </w:trPr>
        <w:tc>
          <w:tcPr>
            <w:tcW w:w="1000" w:type="pct"/>
            <w:tcBorders>
              <w:top w:val="single" w:sz="4" w:space="0" w:color="8EAADB"/>
              <w:left w:val="single" w:sz="4" w:space="0" w:color="8EAADB"/>
              <w:bottom w:val="single" w:sz="4" w:space="0" w:color="8EAADB"/>
              <w:right w:val="single" w:sz="4" w:space="0" w:color="8EAADB"/>
            </w:tcBorders>
            <w:vAlign w:val="center"/>
          </w:tcPr>
          <w:p w14:paraId="38A11DFA" w14:textId="77777777" w:rsidR="00C879EE" w:rsidRDefault="00000000">
            <w:pPr>
              <w:spacing w:after="0" w:line="259" w:lineRule="auto"/>
              <w:ind w:left="0" w:firstLine="0"/>
            </w:pPr>
            <w:r>
              <w:t xml:space="preserve">IonQ Aria </w:t>
            </w:r>
          </w:p>
        </w:tc>
        <w:tc>
          <w:tcPr>
            <w:tcW w:w="1000" w:type="pct"/>
            <w:tcBorders>
              <w:top w:val="single" w:sz="4" w:space="0" w:color="8EAADB"/>
              <w:left w:val="single" w:sz="4" w:space="0" w:color="8EAADB"/>
              <w:bottom w:val="single" w:sz="4" w:space="0" w:color="8EAADB"/>
              <w:right w:val="single" w:sz="4" w:space="0" w:color="8EAADB"/>
            </w:tcBorders>
            <w:vAlign w:val="center"/>
          </w:tcPr>
          <w:p w14:paraId="1807D252" w14:textId="77777777" w:rsidR="00C879EE" w:rsidRDefault="00000000">
            <w:pPr>
              <w:spacing w:after="0" w:line="259" w:lineRule="auto"/>
              <w:ind w:left="0" w:firstLine="0"/>
            </w:pPr>
            <w:r>
              <w:t xml:space="preserve">30 </w:t>
            </w:r>
          </w:p>
        </w:tc>
        <w:tc>
          <w:tcPr>
            <w:tcW w:w="1000" w:type="pct"/>
            <w:tcBorders>
              <w:top w:val="single" w:sz="4" w:space="0" w:color="8EAADB"/>
              <w:left w:val="single" w:sz="4" w:space="0" w:color="8EAADB"/>
              <w:bottom w:val="single" w:sz="4" w:space="0" w:color="8EAADB"/>
              <w:right w:val="single" w:sz="4" w:space="0" w:color="8EAADB"/>
            </w:tcBorders>
            <w:vAlign w:val="center"/>
          </w:tcPr>
          <w:p w14:paraId="7F1C46BD" w14:textId="77777777" w:rsidR="00C879EE" w:rsidRDefault="00000000">
            <w:pPr>
              <w:spacing w:after="0" w:line="259" w:lineRule="auto"/>
              <w:ind w:left="0" w:firstLine="0"/>
            </w:pPr>
            <w:r>
              <w:t xml:space="preserve">10+ s </w:t>
            </w:r>
          </w:p>
        </w:tc>
        <w:tc>
          <w:tcPr>
            <w:tcW w:w="1000" w:type="pct"/>
            <w:tcBorders>
              <w:top w:val="single" w:sz="4" w:space="0" w:color="8EAADB"/>
              <w:left w:val="single" w:sz="4" w:space="0" w:color="8EAADB"/>
              <w:bottom w:val="single" w:sz="4" w:space="0" w:color="8EAADB"/>
              <w:right w:val="single" w:sz="4" w:space="0" w:color="8EAADB"/>
            </w:tcBorders>
            <w:vAlign w:val="center"/>
          </w:tcPr>
          <w:p w14:paraId="7AD2AE47" w14:textId="77777777" w:rsidR="00C879EE" w:rsidRDefault="00000000">
            <w:pPr>
              <w:spacing w:after="0" w:line="259" w:lineRule="auto"/>
              <w:ind w:left="0" w:firstLine="0"/>
            </w:pPr>
            <w:r>
              <w:t xml:space="preserve">99.99 % </w:t>
            </w:r>
          </w:p>
        </w:tc>
        <w:tc>
          <w:tcPr>
            <w:tcW w:w="1000" w:type="pct"/>
            <w:tcBorders>
              <w:top w:val="single" w:sz="4" w:space="0" w:color="8EAADB"/>
              <w:left w:val="single" w:sz="4" w:space="0" w:color="8EAADB"/>
              <w:bottom w:val="single" w:sz="4" w:space="0" w:color="8EAADB"/>
              <w:right w:val="single" w:sz="4" w:space="0" w:color="8EAADB"/>
            </w:tcBorders>
            <w:vAlign w:val="center"/>
          </w:tcPr>
          <w:p w14:paraId="7F74D01A" w14:textId="77777777" w:rsidR="00C879EE" w:rsidRDefault="00000000">
            <w:pPr>
              <w:spacing w:after="0" w:line="259" w:lineRule="auto"/>
              <w:ind w:left="0" w:firstLine="0"/>
            </w:pPr>
            <w:r>
              <w:t xml:space="preserve">(IonQ 2025) </w:t>
            </w:r>
          </w:p>
        </w:tc>
      </w:tr>
      <w:tr w:rsidR="00C879EE" w14:paraId="3890A3D5" w14:textId="77777777">
        <w:trPr>
          <w:trHeight w:val="626"/>
        </w:trPr>
        <w:tc>
          <w:tcPr>
            <w:tcW w:w="1000" w:type="pct"/>
            <w:tcBorders>
              <w:top w:val="single" w:sz="4" w:space="0" w:color="8EAADB"/>
              <w:left w:val="single" w:sz="4" w:space="0" w:color="8EAADB"/>
              <w:bottom w:val="single" w:sz="4" w:space="0" w:color="8EAADB"/>
              <w:right w:val="single" w:sz="4" w:space="0" w:color="8EAADB"/>
            </w:tcBorders>
            <w:vAlign w:val="center"/>
            <w:shd w:val="clear" w:color="auto" w:fill="F2F6FC"/>
          </w:tcPr>
          <w:p w14:paraId="717A3F77" w14:textId="77777777" w:rsidR="00C879EE" w:rsidRDefault="00000000">
            <w:pPr>
              <w:spacing w:after="0" w:line="259" w:lineRule="auto"/>
              <w:ind w:left="0" w:firstLine="0"/>
            </w:pPr>
            <w:r>
              <w:t xml:space="preserve">Quantinuum H2 </w:t>
            </w:r>
          </w:p>
        </w:tc>
        <w:tc>
          <w:tcPr>
            <w:tcW w:w="1000" w:type="pct"/>
            <w:tcBorders>
              <w:top w:val="single" w:sz="4" w:space="0" w:color="8EAADB"/>
              <w:left w:val="single" w:sz="4" w:space="0" w:color="8EAADB"/>
              <w:bottom w:val="single" w:sz="4" w:space="0" w:color="8EAADB"/>
              <w:right w:val="single" w:sz="4" w:space="0" w:color="8EAADB"/>
            </w:tcBorders>
            <w:vAlign w:val="center"/>
            <w:shd w:val="clear" w:color="auto" w:fill="F2F6FC"/>
          </w:tcPr>
          <w:p w14:paraId="79E1A493" w14:textId="77777777" w:rsidR="00C879EE" w:rsidRDefault="00000000">
            <w:pPr>
              <w:spacing w:after="0" w:line="259" w:lineRule="auto"/>
              <w:ind w:left="0" w:firstLine="0"/>
            </w:pPr>
            <w:r>
              <w:t xml:space="preserve">32 </w:t>
            </w:r>
          </w:p>
        </w:tc>
        <w:tc>
          <w:tcPr>
            <w:tcW w:w="1000" w:type="pct"/>
            <w:tcBorders>
              <w:top w:val="single" w:sz="4" w:space="0" w:color="8EAADB"/>
              <w:left w:val="single" w:sz="4" w:space="0" w:color="8EAADB"/>
              <w:bottom w:val="single" w:sz="4" w:space="0" w:color="8EAADB"/>
              <w:right w:val="single" w:sz="4" w:space="0" w:color="8EAADB"/>
            </w:tcBorders>
            <w:vAlign w:val="center"/>
            <w:shd w:val="clear" w:color="auto" w:fill="F2F6FC"/>
          </w:tcPr>
          <w:p w14:paraId="60738E6A" w14:textId="77777777" w:rsidR="00C879EE" w:rsidRDefault="00000000">
            <w:pPr>
              <w:spacing w:after="0" w:line="259" w:lineRule="auto"/>
              <w:ind w:left="0" w:firstLine="0"/>
            </w:pPr>
            <w:r>
              <w:t xml:space="preserve">10+ s </w:t>
            </w:r>
          </w:p>
        </w:tc>
        <w:tc>
          <w:tcPr>
            <w:tcW w:w="1000" w:type="pct"/>
            <w:tcBorders>
              <w:top w:val="single" w:sz="4" w:space="0" w:color="8EAADB"/>
              <w:left w:val="single" w:sz="4" w:space="0" w:color="8EAADB"/>
              <w:bottom w:val="single" w:sz="4" w:space="0" w:color="8EAADB"/>
              <w:right w:val="single" w:sz="4" w:space="0" w:color="8EAADB"/>
            </w:tcBorders>
            <w:vAlign w:val="center"/>
            <w:shd w:val="clear" w:color="auto" w:fill="F2F6FC"/>
          </w:tcPr>
          <w:p w14:paraId="4C2B71D1" w14:textId="77777777" w:rsidR="00C879EE" w:rsidRDefault="00000000">
            <w:pPr>
              <w:spacing w:after="0" w:line="259" w:lineRule="auto"/>
              <w:ind w:left="0" w:firstLine="0"/>
            </w:pPr>
            <w:r>
              <w:t xml:space="preserve">99.8 % </w:t>
            </w:r>
          </w:p>
        </w:tc>
        <w:tc>
          <w:tcPr>
            <w:tcW w:w="1000" w:type="pct"/>
            <w:tcBorders>
              <w:top w:val="single" w:sz="4" w:space="0" w:color="8EAADB"/>
              <w:left w:val="single" w:sz="4" w:space="0" w:color="8EAADB"/>
              <w:bottom w:val="single" w:sz="4" w:space="0" w:color="8EAADB"/>
              <w:right w:val="single" w:sz="4" w:space="0" w:color="8EAADB"/>
            </w:tcBorders>
            <w:vAlign w:val="center"/>
            <w:shd w:val="clear" w:color="auto" w:fill="F2F6FC"/>
          </w:tcPr>
          <w:p w14:paraId="39BA3BB0" w14:textId="77777777" w:rsidR="00C879EE" w:rsidRDefault="00000000">
            <w:pPr>
              <w:spacing w:after="0" w:line="259" w:lineRule="auto"/>
              <w:ind w:left="0" w:firstLine="0"/>
            </w:pPr>
            <w:r>
              <w:t xml:space="preserve">(Quantum Zeitgeist 2025) </w:t>
            </w:r>
          </w:p>
        </w:tc>
      </w:tr>
    </w:tbl>
    <w:p w14:paraId="1FE9F481" w14:textId="77777777" w:rsidR="00C879EE" w:rsidRDefault="00000000">
      <w:pPr>
        <w:spacing w:after="191"/>
        <w:ind w:left="-5"/>
      </w:pPr>
      <w:r w:rsidRPr="004F74A4">
        <w:rPr>
          <w:lang w:val="en-US"/>
        </w:rPr>
        <w:t xml:space="preserve">Hardware error models often attribute gate drifts to </w:t>
      </w:r>
      <w:r w:rsidRPr="004F74A4">
        <w:rPr>
          <w:b/>
          <w:lang w:val="en-US"/>
        </w:rPr>
        <w:t>stochastic processes</w:t>
      </w:r>
      <w:r w:rsidRPr="004F74A4">
        <w:rPr>
          <w:lang w:val="en-US"/>
        </w:rPr>
        <w:t xml:space="preserve">: thermal fluctuations, electromagnetic interference, two‑level system defects and control electronics jitter. </w:t>
      </w:r>
      <w:r>
        <w:t xml:space="preserve">Yet experimentalists report systematic shifts in gate timing and accumulated phase that cannot be fully explained by noise. This motivates the search for an underlying </w:t>
      </w:r>
      <w:r>
        <w:rPr>
          <w:b/>
        </w:rPr>
        <w:t>deterministic contribution</w:t>
      </w:r>
      <w:r>
        <w:t xml:space="preserve"> to qubit error. </w:t>
      </w:r>
    </w:p>
    <w:p w14:paraId="6D55AF55" w14:textId="77777777" w:rsidR="00C879EE" w:rsidRDefault="00000000">
      <w:pPr>
        <w:pStyle w:val="berschrift2"/>
        <w:ind w:left="511" w:hanging="526"/>
      </w:pPr>
      <w:r>
        <w:t xml:space="preserve">A geometric perspective </w:t>
      </w:r>
    </w:p>
    <w:p w14:paraId="0B34521C" w14:textId="77777777" w:rsidR="00C879EE" w:rsidRDefault="00000000">
      <w:pPr>
        <w:spacing w:after="0" w:line="249" w:lineRule="auto"/>
        <w:ind w:left="-5" w:right="2"/>
      </w:pPr>
      <w:r>
        <w:t xml:space="preserve">In Einstein’s general relativity (GR) clocks tick more slowly in stronger gravitational fields. The gravitational potential difference (ΔΦ) between two heights separated by (h) is given by ΔΦ = g·Δh (to first order), and the corresponding time‑dilation fraction is ΔΦ/c² = g·Δh/c². </w:t>
      </w:r>
    </w:p>
    <w:p w14:paraId="713EA3F5" w14:textId="77777777" w:rsidR="00C879EE" w:rsidRDefault="00000000">
      <w:pPr>
        <w:spacing w:after="11"/>
        <w:ind w:left="-5"/>
      </w:pPr>
      <w:r>
        <w:t>For a 1 mm (1 × 10⁻³ m) height difference on Earth this yields a fractional time dilation of about 1.1 × 10⁻¹⁹ s/s. Although tiny, this effect has been measured at centimetre scales using state-of-the-art optical clocks (Chou et al. 2010; Bothwell et al. 2022).</w:t>
      </w:r>
    </w:p>
    <w:p w14:paraId="1FAB7D6B" w14:textId="77777777" w:rsidR="00C879EE" w:rsidRDefault="00000000">
      <w:pPr>
        <w:ind w:left="-5"/>
      </w:pPr>
      <w:r>
        <w:t xml:space="preserve">The </w:t>
      </w:r>
      <w:r>
        <w:rPr>
          <w:b/>
        </w:rPr>
        <w:t>Segmented Spacetime</w:t>
      </w:r>
      <w:r>
        <w:t xml:space="preserve"> framework provides an alternative way of describing gravitational time dilation. SSZ hypothesises that spacetime is partitioned into discrete segments whose density depends on position. While GR treats spacetime as continuous and experiences singularities near black holes, SSZ regularises these singularities and remains finite at the Schwarzschild radius. Importantly, SSZ coincides with GR predictions at laboratory scales but offers a </w:t>
      </w:r>
      <w:r>
        <w:rPr>
          <w:b/>
        </w:rPr>
        <w:t>natural discretisation</w:t>
      </w:r>
      <w:r>
        <w:t xml:space="preserve"> that lends itself to modelling quantum hardware. </w:t>
      </w:r>
    </w:p>
    <w:p w14:paraId="10F739F5" w14:textId="77777777" w:rsidR="00C879EE" w:rsidRDefault="00000000">
      <w:pPr>
        <w:pStyle w:val="berschrift2"/>
        <w:ind w:left="511" w:hanging="526"/>
      </w:pPr>
      <w:r>
        <w:t xml:space="preserve">Outline and contributions </w:t>
      </w:r>
    </w:p>
    <w:p w14:paraId="77771570" w14:textId="77777777" w:rsidR="00C879EE" w:rsidRDefault="00000000">
      <w:pPr>
        <w:spacing w:after="169" w:line="249" w:lineRule="auto"/>
        <w:ind w:left="-5" w:right="2"/>
      </w:pPr>
      <w:r>
        <w:t xml:space="preserve">This paper presents a comprehensive, self‑contained analysis of SSZ effects on quantum computing. Our contributions are: </w:t>
      </w:r>
    </w:p>
    <w:p w14:paraId="2E7E54B0" w14:textId="77777777" w:rsidR="00C879EE" w:rsidRDefault="00000000">
      <w:pPr>
        <w:numPr>
          <w:ilvl w:val="0"/>
          <w:numId w:val="1"/>
        </w:numPr>
        <w:spacing w:after="33" w:line="250" w:lineRule="auto"/>
        <w:ind w:hanging="480"/>
      </w:pPr>
      <w:r>
        <w:rPr>
          <w:b/>
        </w:rPr>
        <w:t>Theoretical formulation: We derive simple expressions for the segment density Ξ(r) and the time‑dilation factor (D_SSZ(r)), and compare SSZ predictions to those of GR. We emphasise the discrete nature of SSZ and discuss its experimental validation (Sec. 2).</w:t>
      </w:r>
      <w:r>
        <w:t xml:space="preserve"> </w:t>
      </w:r>
    </w:p>
    <w:p w14:paraId="3F83A619" w14:textId="77777777" w:rsidR="00C879EE" w:rsidRDefault="00000000">
      <w:pPr>
        <w:numPr>
          <w:ilvl w:val="0"/>
          <w:numId w:val="1"/>
        </w:numPr>
        <w:spacing w:after="35"/>
        <w:ind w:hanging="480"/>
      </w:pPr>
      <w:r>
        <w:rPr>
          <w:b/>
        </w:rPr>
        <w:t>Height‑dependent effects:</w:t>
      </w:r>
      <w:r>
        <w:t xml:space="preserve"> We calculate the gradient of the segment density </w:t>
      </w:r>
      <w:r>
        <w:rPr>
          <w:rFonts w:ascii="Cambria Math" w:eastAsia="Cambria Math" w:hAnsi="Cambria Math" w:cs="Cambria Math"/>
        </w:rPr>
        <w:t>𝛯(𝑟)</w:t>
      </w:r>
      <w:r>
        <w:t xml:space="preserve">, compute how time dilation varies with height difference, and identify </w:t>
      </w:r>
      <w:r>
        <w:rPr>
          <w:b/>
        </w:rPr>
        <w:t>critical scales</w:t>
      </w:r>
      <w:r>
        <w:t xml:space="preserve"> where SSZ becomes relevant. These analyses are supported by figures and tables (Sec. 3). </w:t>
      </w:r>
    </w:p>
    <w:p w14:paraId="3887F5D5" w14:textId="77777777" w:rsidR="00C879EE" w:rsidRDefault="00000000">
      <w:pPr>
        <w:numPr>
          <w:ilvl w:val="0"/>
          <w:numId w:val="1"/>
        </w:numPr>
        <w:spacing w:after="37"/>
        <w:ind w:hanging="480"/>
      </w:pPr>
      <w:r>
        <w:rPr>
          <w:b/>
        </w:rPr>
        <w:lastRenderedPageBreak/>
        <w:t>Gate timing and phase drift:</w:t>
      </w:r>
      <w:r>
        <w:t xml:space="preserve"> We derive the phase drift per gate and a simple correction formula for gate durations. We show that although individual corrections are minuscule, their cumulative effect over many gates is in principle resolvable in the detection regime (e.g., optical-clock precision), while superconducting platforms remain upper-bound / bound-regime tests (see Sec. 6 and Paper D) (Sec. 4). </w:t>
      </w:r>
    </w:p>
    <w:p w14:paraId="52EEC3AB" w14:textId="77777777" w:rsidR="00C879EE" w:rsidRDefault="00000000">
      <w:pPr>
        <w:numPr>
          <w:ilvl w:val="0"/>
          <w:numId w:val="1"/>
        </w:numPr>
        <w:spacing w:after="34"/>
        <w:ind w:hanging="480"/>
      </w:pPr>
      <w:r>
        <w:rPr>
          <w:b/>
        </w:rPr>
        <w:t>Segment‑coherent zones:</w:t>
      </w:r>
      <w:r>
        <w:t xml:space="preserve"> We introduce the concept of a zone within which qubits experience effectively identical proper time, derive its width as a function of tolerance, and discuss implications for chip design (Sec. 5). </w:t>
      </w:r>
    </w:p>
    <w:p w14:paraId="2CD5686A" w14:textId="77777777" w:rsidR="00C879EE" w:rsidRDefault="00000000">
      <w:pPr>
        <w:numPr>
          <w:ilvl w:val="0"/>
          <w:numId w:val="1"/>
        </w:numPr>
        <w:spacing w:after="34"/>
        <w:ind w:hanging="480"/>
      </w:pPr>
      <w:r>
        <w:rPr>
          <w:b/>
        </w:rPr>
        <w:t>Simulation study:</w:t>
      </w:r>
      <w:r>
        <w:t xml:space="preserve"> Using Qiskit, we simulate 16‑qubit circuits with and without SSZ corrections. We provide full details of the noise model, circuit depth and random seeds, and report improved fidelities under didactic scaling S=10⁸ (bound regime; Sec. 6). </w:t>
      </w:r>
    </w:p>
    <w:p w14:paraId="12137690" w14:textId="77777777" w:rsidR="00C879EE" w:rsidRDefault="00000000">
      <w:pPr>
        <w:numPr>
          <w:ilvl w:val="0"/>
          <w:numId w:val="1"/>
        </w:numPr>
        <w:spacing w:after="37" w:line="249" w:lineRule="auto"/>
        <w:ind w:hanging="480"/>
      </w:pPr>
      <w:r>
        <w:rPr>
          <w:b/>
        </w:rPr>
        <w:t>Experimental proposals:</w:t>
      </w:r>
      <w:r>
        <w:t xml:space="preserve"> We propose realistic experiments on superconducting and trapped‑ion platforms to observe SSZ effects, and we quantify the required precision (Sec. 7). </w:t>
      </w:r>
    </w:p>
    <w:p w14:paraId="0FB833CE" w14:textId="77777777" w:rsidR="00C879EE" w:rsidRDefault="00000000">
      <w:pPr>
        <w:numPr>
          <w:ilvl w:val="0"/>
          <w:numId w:val="1"/>
        </w:numPr>
        <w:ind w:hanging="480"/>
      </w:pPr>
      <w:r>
        <w:rPr>
          <w:b/>
        </w:rPr>
        <w:t>Discussion and outlook:</w:t>
      </w:r>
      <w:r>
        <w:t xml:space="preserve"> We discuss the significance of SSZ for quantum computing, its relationship to GR and quantum gravity, limitations and future directions (Sec. 8), and conclude with a summary of key findings (Sec. 9). </w:t>
      </w:r>
    </w:p>
    <w:p w14:paraId="28A80FDF" w14:textId="77777777" w:rsidR="00C879EE" w:rsidRDefault="00000000">
      <w:pPr>
        <w:ind w:left="-5"/>
      </w:pPr>
      <w:r>
        <w:t>Readers familiar with general relativity or quantum information will find this paper accessible; we provide all formulae and assumptions up front and reference the relevant literature. Those interested in implementing SSZ corrections in practice will find the simulation details and experimental protocols ready to use. We separate a bound regime (superconducting qubits, mm-scale) where SSZ can only be upper-bounded, from a detection regime (optical clocks, large Δh) where SSZ predicts a resolvable slope. We do not claim SSZ explains dominant error channels (T₁/T₂, crosstalk, calibration drift); the purpose is to isolate a deterministic geometric contribution.</w:t>
      </w:r>
    </w:p>
    <w:p w14:paraId="5275B407" w14:textId="77777777" w:rsidR="00C879EE" w:rsidRDefault="00000000">
      <w:pPr>
        <w:spacing w:after="77" w:line="392" w:lineRule="auto"/>
        <w:ind w:left="0" w:right="9350" w:firstLine="0"/>
      </w:pPr>
      <w:r>
        <w:t xml:space="preserve">  </w:t>
      </w:r>
    </w:p>
    <w:p w14:paraId="08885E77" w14:textId="77777777" w:rsidR="00C879EE" w:rsidRDefault="00000000">
      <w:pPr>
        <w:pStyle w:val="berschrift1"/>
        <w:spacing w:after="147"/>
        <w:ind w:left="381" w:hanging="396"/>
        <w:pageBreakBefore/>
      </w:pPr>
      <w:r>
        <w:t xml:space="preserve">The Segmented Spacetime Framework </w:t>
      </w:r>
    </w:p>
    <w:p w14:paraId="729CC09C" w14:textId="77777777" w:rsidR="00C879EE" w:rsidRDefault="00000000">
      <w:pPr>
        <w:pStyle w:val="berschrift2"/>
        <w:ind w:left="513" w:hanging="528"/>
      </w:pPr>
      <w:r>
        <w:t xml:space="preserve">Local segment density and time dilation </w:t>
      </w:r>
    </w:p>
    <w:p w14:paraId="02962885" w14:textId="77777777" w:rsidR="00C879EE" w:rsidRDefault="00000000">
      <w:pPr>
        <w:spacing w:after="0"/>
        <w:ind w:left="-5"/>
      </w:pPr>
      <w:r>
        <w:t>In SSZ theory the gravitational field around a spherical mass of mass (M) is described by a segment density Ξ(r), defined as the local density of spacetime segments at radial distance r.</w:t>
        <w:br/>
        <w:br/>
        <w:t>Notation: D_SSZ(r)=1/(1+Ξ(r)); in the weak-field limit Ξ(r)≈r_s/(2r), ensuring GR agreement.</w:t>
      </w:r>
    </w:p>
    <w:p w14:paraId="559D35EE" w14:textId="77777777" w:rsidR="00C879EE" w:rsidRDefault="00000000">
      <w:pPr>
        <w:spacing w:after="169" w:line="249" w:lineRule="auto"/>
        <w:ind w:left="-5" w:right="2"/>
      </w:pPr>
      <w:r>
        <w:t xml:space="preserve">In the weak‑field limit (valid for r ≫ r_s), the density is </w:t>
      </w:r>
    </w:p>
    <w:p w14:paraId="0B2ACD79" w14:textId="77777777" w:rsidR="00C879EE" w:rsidRDefault="00000000">
      <w:pPr>
        <w:spacing w:after="169" w:line="249" w:lineRule="auto"/>
        <w:ind w:left="-5" w:right="2"/>
      </w:pPr>
      <m:oMathPara>
        <m:oMath>
          <m:r>
            <m:rPr>
              <m:sty m:val="i"/>
            </m:rPr>
            <w:rPr>
              <w:rFonts w:ascii="Cambria Math" w:hAnsi="Cambria Math"/>
            </w:rPr>
            <m:t xml:space="preserve">Ξ(r) = </m:t>
          </m:r>
          <m:sSub>
            <m:e>
              <m:r>
                <m:rPr>
                  <m:sty m:val="i"/>
                </m:rPr>
                <w:rPr>
                  <w:rFonts w:ascii="Cambria Math" w:hAnsi="Cambria Math"/>
                </w:rPr>
                <m:t xml:space="preserve">r</m:t>
              </m:r>
            </m:e>
            <m:sub>
              <m:r>
                <m:rPr>
                  <m:sty m:val="i"/>
                </m:rPr>
                <w:rPr>
                  <w:rFonts w:ascii="Cambria Math" w:hAnsi="Cambria Math"/>
                </w:rPr>
                <m:t xml:space="preserve">s</m:t>
              </m:r>
            </m:sub>
          </m:sSub>
          <m:r>
            <m:rPr>
              <m:sty m:val="i"/>
            </m:rPr>
            <w:rPr>
              <w:rFonts w:ascii="Cambria Math" w:hAnsi="Cambria Math"/>
            </w:rPr>
            <m:t xml:space="preserve"> / (2r)</m:t>
          </m:r>
        </m:oMath>
      </m:oMathPara>
    </w:p>
    <w:p w14:paraId="0419558E" w14:textId="77777777" w:rsidR="00C879EE" w:rsidRDefault="00000000">
      <w:pPr>
        <w:ind w:left="-5"/>
      </w:pPr>
      <w:r>
        <w:t xml:space="preserve">where (r_s = 2 G M / c²) is the Schwarzschild radius, (G) is Newton’s constant and (c) is the speed of light (Wrede and Casu 2025a, 2025b). The associated </w:t>
      </w:r>
      <w:r>
        <w:rPr>
          <w:b/>
        </w:rPr>
        <w:t>time‑dilation factor</w:t>
      </w:r>
      <w:r>
        <w:t xml:space="preserve"> in SSZ is defined as the inverse of one plus the segment density, </w:t>
      </w:r>
    </w:p>
    <w:p w14:paraId="5AF3DDB5" w14:textId="77777777" w:rsidR="00C879EE" w:rsidRDefault="00000000">
      <w:pPr>
        <w:spacing w:after="169" w:line="249" w:lineRule="auto"/>
        <w:ind w:left="-5" w:right="2"/>
      </w:pPr>
      <m:oMathPara>
        <m:oMath>
          <m:sSub>
            <m:e>
              <m:r>
                <m:rPr>
                  <m:sty m:val="i"/>
                </m:rPr>
                <w:rPr>
                  <w:rFonts w:ascii="Cambria Math" w:hAnsi="Cambria Math"/>
                </w:rPr>
                <m:t xml:space="preserve">D</m:t>
              </m:r>
            </m:e>
            <m:sub>
              <m:r>
                <m:rPr>
                  <m:sty m:val="i"/>
                </m:rPr>
                <w:rPr>
                  <w:rFonts w:ascii="Cambria Math" w:hAnsi="Cambria Math"/>
                </w:rPr>
                <m:t xml:space="preserve">SSZ</m:t>
              </m:r>
            </m:sub>
          </m:sSub>
          <m:r>
            <m:rPr>
              <m:sty m:val="i"/>
            </m:rPr>
            <w:rPr>
              <w:rFonts w:ascii="Cambria Math" w:hAnsi="Cambria Math"/>
            </w:rPr>
            <m:t xml:space="preserve">(r) = 1 / (1 + Ξ(r)) = 2r / (2r + </m:t>
          </m:r>
          <m:sSub>
            <m:e>
              <m:r>
                <m:rPr>
                  <m:sty m:val="i"/>
                </m:rPr>
                <w:rPr>
                  <w:rFonts w:ascii="Cambria Math" w:hAnsi="Cambria Math"/>
                </w:rPr>
                <m:t xml:space="preserve">r</m:t>
              </m:r>
            </m:e>
            <m:sub>
              <m:r>
                <m:rPr>
                  <m:sty m:val="i"/>
                </m:rPr>
                <w:rPr>
                  <w:rFonts w:ascii="Cambria Math" w:hAnsi="Cambria Math"/>
                </w:rPr>
                <m:t xml:space="preserve">s</m:t>
              </m:r>
            </m:sub>
          </m:sSub>
          <m:r>
            <m:rPr>
              <m:sty m:val="i"/>
            </m:rPr>
            <w:rPr>
              <w:rFonts w:ascii="Cambria Math" w:hAnsi="Cambria Math"/>
            </w:rPr>
            <m:t xml:space="preserve">)</m:t>
          </m:r>
        </m:oMath>
      </m:oMathPara>
    </w:p>
    <w:p w14:paraId="588D60A3" w14:textId="77777777" w:rsidR="00C879EE" w:rsidRDefault="00000000">
      <w:pPr>
        <w:ind w:left="-5"/>
      </w:pPr>
      <w:r>
        <w:t xml:space="preserve">When r ≫ r_s (weak fields), one can expand the SSZ factor to first order to obtain D_SSZ(r) ≈ 1 − Ξ(r), recovering the first‑order GR result. The segment density at Earth’s surface is extremely small: setting M = 5.972 × 10²⁴ kg and R_Earth = 6.371 × 10⁶ m yields r_s ≈ 8.87 × 10⁻³ m and Ξ(R_Earth) ≈ 6.96 × 10⁻¹⁰. </w:t>
      </w:r>
    </w:p>
    <w:p w14:paraId="42C13F08" w14:textId="77777777" w:rsidR="00C879EE" w:rsidRDefault="00000000">
      <w:pPr>
        <w:spacing w:after="127"/>
        <w:ind w:left="-5"/>
      </w:pPr>
      <w:r>
        <w:t xml:space="preserve">To visualise these quantities we plot </w:t>
      </w:r>
      <w:r>
        <w:rPr>
          <w:rFonts w:ascii="Cambria Math" w:eastAsia="Cambria Math" w:hAnsi="Cambria Math" w:cs="Cambria Math"/>
        </w:rPr>
        <w:t>𝛯(𝑟)</w:t>
      </w:r>
      <w:r>
        <w:t xml:space="preserve"> and its variation with height above Earth’s surface. The left panel of Figure 1 shows the density decreasing as (1/r), while the right panel displays the difference (ΔΞ) between two heights on a logarithmic scale. The gradient near Earth is extremely small: a 1 mm height change yields a change of order (10⁻¹⁹). </w:t>
      </w:r>
    </w:p>
    <w:p w14:paraId="0A9BEC61" w14:textId="77777777" w:rsidR="00C879EE" w:rsidRDefault="00000000">
      <w:pPr>
        <w:spacing w:after="121" w:line="259" w:lineRule="auto"/>
        <w:ind w:left="0" w:right="327" w:firstLine="0"/>
        <w:jc w:val="center"/>
      </w:pPr>
      <w:r>
        <w:rPr>
          <w:noProof/>
        </w:rPr>
        <w:lastRenderedPageBreak/>
        <w:drawing>
          <wp:inline distT="0" distB="0" distL="0" distR="0" wp14:anchorId="6E19106C" wp14:editId="5297FE63">
            <wp:extent cx="5485385" cy="2522220"/>
            <wp:effectExtent l="0" t="0" r="0" b="0"/>
            <wp:docPr id="489" name="Picture 489"/>
            <wp:cNvGraphicFramePr/>
            <a:graphic xmlns:a="http://schemas.openxmlformats.org/drawingml/2006/main">
              <a:graphicData uri="http://schemas.openxmlformats.org/drawingml/2006/picture">
                <pic:pic xmlns:pic="http://schemas.openxmlformats.org/drawingml/2006/picture">
                  <pic:nvPicPr>
                    <pic:cNvPr id="489" name="Picture 489"/>
                    <pic:cNvPicPr/>
                  </pic:nvPicPr>
                  <pic:blipFill>
                    <a:blip r:embed="rId5"/>
                    <a:stretch>
                      <a:fillRect/>
                    </a:stretch>
                  </pic:blipFill>
                  <pic:spPr>
                    <a:xfrm>
                      <a:off x="0" y="0"/>
                      <a:ext cx="5485385" cy="2522220"/>
                    </a:xfrm>
                    <a:prstGeom prst="rect">
                      <a:avLst/>
                    </a:prstGeom>
                  </pic:spPr>
                </pic:pic>
              </a:graphicData>
            </a:graphic>
          </wp:inline>
        </w:drawing>
      </w:r>
      <w:r>
        <w:t xml:space="preserve"> </w:t>
      </w:r>
    </w:p>
    <w:p w14:paraId="1AC7E9E1" w14:textId="77777777" w:rsidR="00C879EE" w:rsidRDefault="00000000">
      <w:pPr>
        <w:spacing w:after="169" w:line="249" w:lineRule="auto"/>
        <w:ind w:left="-5" w:right="2"/>
      </w:pPr>
      <w:r>
        <w:t xml:space="preserve">Segment density and its variation with height. The left panel shows the local segment density (Ξ(r) = r_s/(2r)) as a function of height above Earth’s surface. The right panel plots the difference ΔΞ between two heights on a logarithmic scale. For millimetre‑scale height differences the change is on the order of (10⁻¹⁹). </w:t>
      </w:r>
    </w:p>
    <w:p w14:paraId="02642FC3" w14:textId="77777777" w:rsidR="00C879EE" w:rsidRDefault="00000000">
      <w:pPr>
        <w:spacing w:after="192" w:line="259" w:lineRule="auto"/>
        <w:ind w:left="0" w:firstLine="0"/>
      </w:pPr>
      <w:r>
        <w:t xml:space="preserve"> </w:t>
      </w:r>
    </w:p>
    <w:p w14:paraId="58890934" w14:textId="77777777" w:rsidR="00C879EE" w:rsidRDefault="00000000">
      <w:pPr>
        <w:pStyle w:val="berschrift2"/>
        <w:ind w:left="513" w:hanging="528"/>
      </w:pPr>
      <w:r>
        <w:t xml:space="preserve">Comparison with General Relativity </w:t>
      </w:r>
    </w:p>
    <w:p w14:paraId="1C330708" w14:textId="77777777" w:rsidR="00C879EE" w:rsidRDefault="00000000">
      <w:pPr>
        <w:spacing w:after="169" w:line="249" w:lineRule="auto"/>
        <w:ind w:left="-5" w:right="2"/>
      </w:pPr>
      <w:r>
        <w:t xml:space="preserve">General Relativity predicts that the time‑dilation factor outside a non‑rotating sphere is </w:t>
      </w:r>
    </w:p>
    <w:p w14:paraId="6CA1810A" w14:textId="77777777" w:rsidR="00C879EE" w:rsidRDefault="00000000">
      <w:pPr>
        <w:spacing w:after="169" w:line="249" w:lineRule="auto"/>
        <w:ind w:left="-5" w:right="2"/>
      </w:pPr>
      <m:oMathPara>
        <m:oMath>
          <m:sSub>
            <m:e>
              <m:r>
                <m:rPr>
                  <m:sty m:val="i"/>
                </m:rPr>
                <w:rPr>
                  <w:rFonts w:ascii="Cambria Math" w:hAnsi="Cambria Math"/>
                </w:rPr>
                <m:t xml:space="preserve">D</m:t>
              </m:r>
            </m:e>
            <m:sub>
              <m:r>
                <m:rPr>
                  <m:sty m:val="i"/>
                </m:rPr>
                <w:rPr>
                  <w:rFonts w:ascii="Cambria Math" w:hAnsi="Cambria Math"/>
                </w:rPr>
                <m:t xml:space="preserve">GR</m:t>
              </m:r>
            </m:sub>
          </m:sSub>
          <m:r>
            <m:rPr>
              <m:sty m:val="i"/>
            </m:rPr>
            <w:rPr>
              <w:rFonts w:ascii="Cambria Math" w:hAnsi="Cambria Math"/>
            </w:rPr>
            <m:t xml:space="preserve">(r) = </m:t>
          </m:r>
          <m:rad>
            <m:radPr>
              <m:degHide m:val="1"/>
            </m:radPr>
            <m:deg/>
            <m:e>
              <m:r>
                <m:rPr>
                  <m:sty m:val="i"/>
                </m:rPr>
                <w:rPr>
                  <w:rFonts w:ascii="Cambria Math" w:hAnsi="Cambria Math"/>
                </w:rPr>
                <m:t xml:space="preserve">1 - r_s/r</m:t>
              </m:r>
            </m:e>
          </m:rad>
        </m:oMath>
      </m:oMathPara>
    </w:p>
    <w:p w14:paraId="0AE0533F" w14:textId="77777777" w:rsidR="00C879EE" w:rsidRDefault="00000000">
      <w:pPr>
        <w:spacing w:after="124" w:line="259" w:lineRule="auto"/>
        <w:ind w:left="0" w:right="327" w:firstLine="0"/>
        <w:jc w:val="center"/>
      </w:pPr>
      <w:r>
        <w:rPr>
          <w:noProof/>
        </w:rPr>
        <w:drawing>
          <wp:inline distT="0" distB="0" distL="0" distR="0" wp14:anchorId="2C06FF3F" wp14:editId="237AE137">
            <wp:extent cx="5485385" cy="2522220"/>
            <wp:effectExtent l="0" t="0" r="0" b="0"/>
            <wp:docPr id="656" name="Picture 656"/>
            <wp:cNvGraphicFramePr/>
            <a:graphic xmlns:a="http://schemas.openxmlformats.org/drawingml/2006/main">
              <a:graphicData uri="http://schemas.openxmlformats.org/drawingml/2006/picture">
                <pic:pic xmlns:pic="http://schemas.openxmlformats.org/drawingml/2006/picture">
                  <pic:nvPicPr>
                    <pic:cNvPr id="656" name="Picture 656"/>
                    <pic:cNvPicPr/>
                  </pic:nvPicPr>
                  <pic:blipFill>
                    <a:blip r:embed="rId6"/>
                    <a:stretch>
                      <a:fillRect/>
                    </a:stretch>
                  </pic:blipFill>
                  <pic:spPr>
                    <a:xfrm>
                      <a:off x="0" y="0"/>
                      <a:ext cx="5485385" cy="2522220"/>
                    </a:xfrm>
                    <a:prstGeom prst="rect">
                      <a:avLst/>
                    </a:prstGeom>
                  </pic:spPr>
                </pic:pic>
              </a:graphicData>
            </a:graphic>
          </wp:inline>
        </w:drawing>
      </w:r>
      <w:r>
        <w:t xml:space="preserve"> </w:t>
      </w:r>
    </w:p>
    <w:p w14:paraId="5AE6600B" w14:textId="77777777" w:rsidR="00C879EE" w:rsidRDefault="00000000">
      <w:pPr>
        <w:ind w:left="-5"/>
      </w:pPr>
      <w:r>
        <w:t xml:space="preserve">Expanding for r ≫ r_s gives D_SSZ(r) ≈ 1 − Ξ(r), which matches the SSZ expansion. Thus, SSZ and GR agree in the weak‑field regime relevant for Earth‑bound experiments. The differences arise near the Schwarzschild radius. In GR, D_GR(r) goes to zero at (r=r_s), signalling the presence of an event horizon; in SSZ, D_SSZ(r) remains finite at (r=r_s), avoiding the singularity. Figure 2 compares the two theories: both coincide for r/r_s ≫ 1 but diverge near the horizon. </w:t>
      </w:r>
    </w:p>
    <w:p w14:paraId="52FF5CC3" w14:textId="77777777" w:rsidR="00C879EE" w:rsidRDefault="00000000">
      <w:pPr>
        <w:ind w:left="-5"/>
      </w:pPr>
      <w:r>
        <w:lastRenderedPageBreak/>
        <w:t xml:space="preserve">Comparison of SSZ (blue) and GR (orange) time dilation over a wide range of (r/r_s) (left panel) and a zoom near the Schwarzschild radius (right panel). In the weak‑field region both theories agree; near the horizon SSZ remains finite while GR tends to zero. </w:t>
      </w:r>
    </w:p>
    <w:p w14:paraId="29968BB8" w14:textId="77777777" w:rsidR="00C879EE" w:rsidRDefault="00000000">
      <w:pPr>
        <w:spacing w:after="174" w:line="259" w:lineRule="auto"/>
        <w:ind w:left="0" w:firstLine="0"/>
      </w:pPr>
      <w:r>
        <w:t xml:space="preserve"> </w:t>
      </w:r>
    </w:p>
    <w:p w14:paraId="0F7AD462" w14:textId="77777777" w:rsidR="00C879EE" w:rsidRDefault="00000000">
      <w:pPr>
        <w:pStyle w:val="berschrift2"/>
        <w:ind w:left="511" w:hanging="526"/>
      </w:pPr>
      <w:r>
        <w:t xml:space="preserve">Experimental validation of SSZ </w:t>
      </w:r>
    </w:p>
    <w:p>
      <w:r>
        <w:t w:space="preserve">Tested regime and falsifiability. In the weak-field limit (r ≫ r_s), SSZ reproduces GR to first order, ensuring consistency with all classical tests. In the strong-field regime (r ~ r_s), SSZ predicts systematic deviations of +11–14% in time dilation—validated against neutron-star and black-hole datasets (184/184 tests pass). If these deviations are not observed with predicted sign and scaling, SSZ is falsified. The qubit applications here operate in the weak-field baseline and serve as an upper-bound experiment.</w:t>
      </w:r>
    </w:p>
    <w:p w14:paraId="76327277" w14:textId="77777777" w:rsidR="00C879EE" w:rsidRDefault="00000000">
      <w:pPr>
        <w:spacing w:after="217"/>
        <w:ind w:left="-5"/>
      </w:pPr>
      <w:r>
        <w:t xml:space="preserve">Since SSZ reproduces GR in the weak field limit, all classical tests of GR automatically support SSZ predictions. Table 2 lists representative experiments that have measured gravitational time dilation across distances from metres to satellite altitudes. In each case SSZ yields the same time shift as GR within experimental uncertainties (Pound and Rebka 1960; Chou et al. 2010; Takamoto et al. 2020; Bothwell et al. 2022; Will 2014). For example, optical lattice clocks have measured the redshift between two locations separated by 450 m (Tokyo Skytree) to a precision of 5.2 × 10⁻¹⁴, matching predictions. Even height differences of 1 mm produce shifts of (10⁻¹⁹), which have been inferred using advanced clock comparisons. </w:t>
      </w:r>
    </w:p>
    <w:p w14:paraId="085E2849" w14:textId="77777777" w:rsidR="00C879EE" w:rsidRDefault="00000000">
      <w:pPr>
        <w:tabs>
          <w:tab w:val="center" w:pos="3017"/>
          <w:tab w:val="center" w:pos="5046"/>
          <w:tab w:val="center" w:pos="6860"/>
        </w:tabs>
        <w:spacing w:after="11"/>
        <w:ind w:left="0" w:firstLine="0"/>
      </w:pPr>
      <w:r>
        <w:rPr>
          <w:rFonts w:ascii="Calibri" w:eastAsia="Calibri" w:hAnsi="Calibri" w:cs="Calibri"/>
          <w:sz w:val="22"/>
        </w:rPr>
        <w:tab/>
      </w:r>
      <w:r>
        <w:t xml:space="preserve">Height </w:t>
      </w:r>
      <w:r>
        <w:tab/>
        <w:t xml:space="preserve">Predicted time </w:t>
      </w:r>
      <w:r>
        <w:tab/>
        <w:t xml:space="preserve">Measured time </w:t>
      </w:r>
    </w:p>
    <w:p w14:paraId="1F3C1F1C" w14:textId="77777777" w:rsidR="00C879EE" w:rsidRDefault="00000000">
      <w:pPr>
        <w:tabs>
          <w:tab w:val="center" w:pos="3194"/>
          <w:tab w:val="center" w:pos="4519"/>
          <w:tab w:val="center" w:pos="6320"/>
          <w:tab w:val="center" w:pos="8567"/>
        </w:tabs>
        <w:spacing w:after="11"/>
        <w:ind w:left="0" w:firstLine="0"/>
      </w:pPr>
      <w:r>
        <w:t xml:space="preserve">Experiment </w:t>
      </w:r>
      <w:r>
        <w:tab/>
        <w:t xml:space="preserve">difference </w:t>
      </w:r>
      <w:r>
        <w:tab/>
        <w:t xml:space="preserve">shift </w:t>
      </w:r>
      <w:r>
        <w:tab/>
        <w:t xml:space="preserve">shift </w:t>
      </w:r>
      <w:r>
        <w:tab/>
        <w:t xml:space="preserve">Agreement </w:t>
      </w:r>
    </w:p>
    <w:p w14:paraId="60823D8D" w14:textId="77777777" w:rsidR="00C879EE" w:rsidRDefault="00000000">
      <w:pPr>
        <w:spacing w:after="75" w:line="259" w:lineRule="auto"/>
        <w:ind w:left="0" w:firstLine="0"/>
        <w:jc w:val="center"/>
      </w:pPr>
      <w:r>
        <w:rPr>
          <w:rFonts w:ascii="Calibri" w:eastAsia="Calibri" w:hAnsi="Calibri" w:cs="Calibri"/>
          <w:noProof/>
          <w:sz w:val="22"/>
        </w:rPr>
        <mc:AlternateContent>
          <mc:Choice Requires="wpg">
            <w:drawing>
              <wp:inline distT="0" distB="0" distL="0" distR="0" wp14:anchorId="3C1EBFD7" wp14:editId="02B2722D">
                <wp:extent cx="5868365" cy="1524"/>
                <wp:effectExtent l="0" t="0" r="0" b="0"/>
                <wp:docPr id="19107" name="Group 19107"/>
                <wp:cNvGraphicFramePr/>
                <a:graphic xmlns:a="http://schemas.openxmlformats.org/drawingml/2006/main">
                  <a:graphicData uri="http://schemas.microsoft.com/office/word/2010/wordprocessingGroup">
                    <wpg:wgp>
                      <wpg:cNvGrpSpPr/>
                      <wpg:grpSpPr>
                        <a:xfrm>
                          <a:off x="0" y="0"/>
                          <a:ext cx="5868365" cy="1524"/>
                          <a:chOff x="0" y="0"/>
                          <a:chExt cx="5868365" cy="1524"/>
                        </a:xfrm>
                      </wpg:grpSpPr>
                      <wps:wsp>
                        <wps:cNvPr id="24584" name="Shape 24584"/>
                        <wps:cNvSpPr/>
                        <wps:spPr>
                          <a:xfrm>
                            <a:off x="0" y="0"/>
                            <a:ext cx="1629410" cy="9144"/>
                          </a:xfrm>
                          <a:custGeom>
                            <a:avLst/>
                            <a:gdLst/>
                            <a:ahLst/>
                            <a:cxnLst/>
                            <a:rect l="0" t="0" r="0" b="0"/>
                            <a:pathLst>
                              <a:path w="1629410" h="9144">
                                <a:moveTo>
                                  <a:pt x="0" y="0"/>
                                </a:moveTo>
                                <a:lnTo>
                                  <a:pt x="1629410" y="0"/>
                                </a:lnTo>
                                <a:lnTo>
                                  <a:pt x="16294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585" name="Shape 24585"/>
                        <wps:cNvSpPr/>
                        <wps:spPr>
                          <a:xfrm>
                            <a:off x="162948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586" name="Shape 24586"/>
                        <wps:cNvSpPr/>
                        <wps:spPr>
                          <a:xfrm>
                            <a:off x="1631010" y="0"/>
                            <a:ext cx="1025652" cy="9144"/>
                          </a:xfrm>
                          <a:custGeom>
                            <a:avLst/>
                            <a:gdLst/>
                            <a:ahLst/>
                            <a:cxnLst/>
                            <a:rect l="0" t="0" r="0" b="0"/>
                            <a:pathLst>
                              <a:path w="1025652" h="9144">
                                <a:moveTo>
                                  <a:pt x="0" y="0"/>
                                </a:moveTo>
                                <a:lnTo>
                                  <a:pt x="1025652" y="0"/>
                                </a:lnTo>
                                <a:lnTo>
                                  <a:pt x="10256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587" name="Shape 24587"/>
                        <wps:cNvSpPr/>
                        <wps:spPr>
                          <a:xfrm>
                            <a:off x="265666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588" name="Shape 24588"/>
                        <wps:cNvSpPr/>
                        <wps:spPr>
                          <a:xfrm>
                            <a:off x="2658186" y="0"/>
                            <a:ext cx="1141781" cy="9144"/>
                          </a:xfrm>
                          <a:custGeom>
                            <a:avLst/>
                            <a:gdLst/>
                            <a:ahLst/>
                            <a:cxnLst/>
                            <a:rect l="0" t="0" r="0" b="0"/>
                            <a:pathLst>
                              <a:path w="1141781" h="9144">
                                <a:moveTo>
                                  <a:pt x="0" y="0"/>
                                </a:moveTo>
                                <a:lnTo>
                                  <a:pt x="1141781" y="0"/>
                                </a:lnTo>
                                <a:lnTo>
                                  <a:pt x="11417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589" name="Shape 24589"/>
                        <wps:cNvSpPr/>
                        <wps:spPr>
                          <a:xfrm>
                            <a:off x="37999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590" name="Shape 24590"/>
                        <wps:cNvSpPr/>
                        <wps:spPr>
                          <a:xfrm>
                            <a:off x="3801440" y="0"/>
                            <a:ext cx="1210361" cy="9144"/>
                          </a:xfrm>
                          <a:custGeom>
                            <a:avLst/>
                            <a:gdLst/>
                            <a:ahLst/>
                            <a:cxnLst/>
                            <a:rect l="0" t="0" r="0" b="0"/>
                            <a:pathLst>
                              <a:path w="1210361" h="9144">
                                <a:moveTo>
                                  <a:pt x="0" y="0"/>
                                </a:moveTo>
                                <a:lnTo>
                                  <a:pt x="1210361" y="0"/>
                                </a:lnTo>
                                <a:lnTo>
                                  <a:pt x="12103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591" name="Shape 24591"/>
                        <wps:cNvSpPr/>
                        <wps:spPr>
                          <a:xfrm>
                            <a:off x="501187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592" name="Shape 24592"/>
                        <wps:cNvSpPr/>
                        <wps:spPr>
                          <a:xfrm>
                            <a:off x="5013401" y="0"/>
                            <a:ext cx="854964" cy="9144"/>
                          </a:xfrm>
                          <a:custGeom>
                            <a:avLst/>
                            <a:gdLst/>
                            <a:ahLst/>
                            <a:cxnLst/>
                            <a:rect l="0" t="0" r="0" b="0"/>
                            <a:pathLst>
                              <a:path w="854964" h="9144">
                                <a:moveTo>
                                  <a:pt x="0" y="0"/>
                                </a:moveTo>
                                <a:lnTo>
                                  <a:pt x="854964" y="0"/>
                                </a:lnTo>
                                <a:lnTo>
                                  <a:pt x="8549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9107" style="width:462.076pt;height:0.119995pt;mso-position-horizontal-relative:char;mso-position-vertical-relative:line" coordsize="58683,15">
                <v:shape id="Shape 24593" style="position:absolute;width:16294;height:91;left:0;top:0;" coordsize="1629410,9144" path="m0,0l1629410,0l1629410,9144l0,9144l0,0">
                  <v:stroke weight="0pt" endcap="flat" joinstyle="miter" miterlimit="10" on="false" color="#000000" opacity="0"/>
                  <v:fill on="true" color="#000000"/>
                </v:shape>
                <v:shape id="Shape 24594" style="position:absolute;width:91;height:91;left:16294;top:0;" coordsize="9144,9144" path="m0,0l9144,0l9144,9144l0,9144l0,0">
                  <v:stroke weight="0pt" endcap="flat" joinstyle="miter" miterlimit="10" on="false" color="#000000" opacity="0"/>
                  <v:fill on="true" color="#000000"/>
                </v:shape>
                <v:shape id="Shape 24595" style="position:absolute;width:10256;height:91;left:16310;top:0;" coordsize="1025652,9144" path="m0,0l1025652,0l1025652,9144l0,9144l0,0">
                  <v:stroke weight="0pt" endcap="flat" joinstyle="miter" miterlimit="10" on="false" color="#000000" opacity="0"/>
                  <v:fill on="true" color="#000000"/>
                </v:shape>
                <v:shape id="Shape 24596" style="position:absolute;width:91;height:91;left:26566;top:0;" coordsize="9144,9144" path="m0,0l9144,0l9144,9144l0,9144l0,0">
                  <v:stroke weight="0pt" endcap="flat" joinstyle="miter" miterlimit="10" on="false" color="#000000" opacity="0"/>
                  <v:fill on="true" color="#000000"/>
                </v:shape>
                <v:shape id="Shape 24597" style="position:absolute;width:11417;height:91;left:26581;top:0;" coordsize="1141781,9144" path="m0,0l1141781,0l1141781,9144l0,9144l0,0">
                  <v:stroke weight="0pt" endcap="flat" joinstyle="miter" miterlimit="10" on="false" color="#000000" opacity="0"/>
                  <v:fill on="true" color="#000000"/>
                </v:shape>
                <v:shape id="Shape 24598" style="position:absolute;width:91;height:91;left:37999;top:0;" coordsize="9144,9144" path="m0,0l9144,0l9144,9144l0,9144l0,0">
                  <v:stroke weight="0pt" endcap="flat" joinstyle="miter" miterlimit="10" on="false" color="#000000" opacity="0"/>
                  <v:fill on="true" color="#000000"/>
                </v:shape>
                <v:shape id="Shape 24599" style="position:absolute;width:12103;height:91;left:38014;top:0;" coordsize="1210361,9144" path="m0,0l1210361,0l1210361,9144l0,9144l0,0">
                  <v:stroke weight="0pt" endcap="flat" joinstyle="miter" miterlimit="10" on="false" color="#000000" opacity="0"/>
                  <v:fill on="true" color="#000000"/>
                </v:shape>
                <v:shape id="Shape 24600" style="position:absolute;width:91;height:91;left:50118;top:0;" coordsize="9144,9144" path="m0,0l9144,0l9144,9144l0,9144l0,0">
                  <v:stroke weight="0pt" endcap="flat" joinstyle="miter" miterlimit="10" on="false" color="#000000" opacity="0"/>
                  <v:fill on="true" color="#000000"/>
                </v:shape>
                <v:shape id="Shape 24601" style="position:absolute;width:8549;height:91;left:50134;top:0;" coordsize="854964,9144" path="m0,0l854964,0l854964,9144l0,9144l0,0">
                  <v:stroke weight="0pt" endcap="flat" joinstyle="miter" miterlimit="10" on="false" color="#000000" opacity="0"/>
                  <v:fill on="true" color="#000000"/>
                </v:shape>
              </v:group>
            </w:pict>
          </mc:Fallback>
        </mc:AlternateContent>
      </w:r>
    </w:p>
    <w:p w14:paraId="7F8035E4" w14:textId="77777777" w:rsidR="00C879EE" w:rsidRDefault="00000000">
      <w:pPr>
        <w:tabs>
          <w:tab w:val="center" w:pos="3222"/>
          <w:tab w:val="center" w:pos="4903"/>
          <w:tab w:val="center" w:pos="6703"/>
          <w:tab w:val="center" w:pos="8357"/>
        </w:tabs>
        <w:spacing w:after="86"/>
        <w:ind w:left="0" w:firstLine="0"/>
      </w:pPr>
      <w:r>
        <w:t xml:space="preserve">GPS satellites </w:t>
      </w:r>
      <w:r>
        <w:tab/>
        <w:t xml:space="preserve">20,200 km </w:t>
      </w:r>
      <w:r>
        <w:tab/>
        <w:t xml:space="preserve">45.7 µs/day </w:t>
      </w:r>
      <w:r>
        <w:tab/>
        <w:t xml:space="preserve">45.9 µs/day </w:t>
      </w:r>
      <w:r>
        <w:tab/>
        <w:t xml:space="preserve">99.6 % </w:t>
      </w:r>
    </w:p>
    <w:p w14:paraId="74A06CB4" w14:textId="77777777" w:rsidR="00C879EE" w:rsidRDefault="00000000">
      <w:pPr>
        <w:tabs>
          <w:tab w:val="center" w:pos="3026"/>
          <w:tab w:val="center" w:pos="5080"/>
          <w:tab w:val="center" w:pos="6783"/>
          <w:tab w:val="center" w:pos="8179"/>
        </w:tabs>
        <w:spacing w:after="11"/>
        <w:ind w:left="0" w:firstLine="0"/>
      </w:pPr>
      <w:r>
        <w:t xml:space="preserve">Pound–Rebka (Tower) </w:t>
      </w:r>
      <w:r>
        <w:tab/>
        <w:t xml:space="preserve">22.5 m </w:t>
      </w:r>
      <w:r>
        <w:tab/>
      </w:r>
      <w:r>
        <w:rPr>
          <w:rFonts w:ascii="Cambria Math" w:eastAsia="Cambria Math" w:hAnsi="Cambria Math" w:cs="Cambria Math"/>
        </w:rPr>
        <w:t>2.46 × 10</w:t>
      </w:r>
      <w:r>
        <w:rPr>
          <w:rFonts w:ascii="Cambria Math" w:eastAsia="Cambria Math" w:hAnsi="Cambria Math" w:cs="Cambria Math"/>
          <w:vertAlign w:val="superscript"/>
        </w:rPr>
        <w:t>−15</w:t>
      </w:r>
      <w:r>
        <w:t xml:space="preserve"> </w:t>
      </w:r>
      <w:r>
        <w:tab/>
      </w:r>
      <w:r>
        <w:rPr>
          <w:rFonts w:ascii="Cambria Math" w:eastAsia="Cambria Math" w:hAnsi="Cambria Math" w:cs="Cambria Math"/>
        </w:rPr>
        <w:t>(2.57 ± 0.26)</w:t>
      </w:r>
      <w:r>
        <w:rPr>
          <w:rFonts w:ascii="Cambria Math" w:eastAsia="Cambria Math" w:hAnsi="Cambria Math" w:cs="Cambria Math"/>
        </w:rPr>
        <w:tab/>
      </w:r>
      <w:r>
        <w:t xml:space="preserve">Yes </w:t>
      </w:r>
    </w:p>
    <w:p w14:paraId="49771F6A" w14:textId="77777777" w:rsidR="00C879EE" w:rsidRDefault="00000000">
      <w:pPr>
        <w:spacing w:after="147" w:line="259" w:lineRule="auto"/>
        <w:ind w:left="6958"/>
      </w:pPr>
      <w:r>
        <w:rPr>
          <w:rFonts w:ascii="Cambria Math" w:eastAsia="Cambria Math" w:hAnsi="Cambria Math" w:cs="Cambria Math"/>
        </w:rPr>
        <w:t>× 10</w:t>
      </w:r>
      <w:r>
        <w:rPr>
          <w:rFonts w:ascii="Cambria Math" w:eastAsia="Cambria Math" w:hAnsi="Cambria Math" w:cs="Cambria Math"/>
          <w:sz w:val="17"/>
        </w:rPr>
        <w:t>−15</w:t>
      </w:r>
      <w:r>
        <w:t xml:space="preserve"> </w:t>
      </w:r>
    </w:p>
    <w:p w14:paraId="79FD003E" w14:textId="77777777" w:rsidR="00C879EE" w:rsidRDefault="00000000">
      <w:pPr>
        <w:tabs>
          <w:tab w:val="center" w:pos="2988"/>
          <w:tab w:val="center" w:pos="5079"/>
          <w:tab w:val="center" w:pos="6650"/>
          <w:tab w:val="center" w:pos="8179"/>
        </w:tabs>
        <w:spacing w:after="11"/>
        <w:ind w:left="0" w:firstLine="0"/>
      </w:pPr>
      <w:r>
        <w:t xml:space="preserve">NIST optical clocks </w:t>
      </w:r>
      <w:r>
        <w:tab/>
        <w:t xml:space="preserve">33 cm </w:t>
      </w:r>
      <w:r>
        <w:tab/>
      </w:r>
      <w:r>
        <w:rPr>
          <w:rFonts w:ascii="Cambria Math" w:eastAsia="Cambria Math" w:hAnsi="Cambria Math" w:cs="Cambria Math"/>
        </w:rPr>
        <w:t>4.1 × 10</w:t>
      </w:r>
      <w:r>
        <w:rPr>
          <w:rFonts w:ascii="Cambria Math" w:eastAsia="Cambria Math" w:hAnsi="Cambria Math" w:cs="Cambria Math"/>
          <w:vertAlign w:val="superscript"/>
        </w:rPr>
        <w:t>−17</w:t>
      </w:r>
      <w:r>
        <w:t xml:space="preserve"> </w:t>
      </w:r>
      <w:r>
        <w:tab/>
      </w:r>
      <w:r>
        <w:rPr>
          <w:rFonts w:ascii="Cambria Math" w:eastAsia="Cambria Math" w:hAnsi="Cambria Math" w:cs="Cambria Math"/>
        </w:rPr>
        <w:t>(4.1 ± 1.6)</w:t>
      </w:r>
      <w:r>
        <w:rPr>
          <w:rFonts w:ascii="Cambria Math" w:eastAsia="Cambria Math" w:hAnsi="Cambria Math" w:cs="Cambria Math"/>
        </w:rPr>
        <w:tab/>
      </w:r>
      <w:r>
        <w:t xml:space="preserve">Yes </w:t>
      </w:r>
    </w:p>
    <w:p w14:paraId="79FF4973" w14:textId="77777777" w:rsidR="00C879EE" w:rsidRDefault="00000000">
      <w:pPr>
        <w:spacing w:after="147" w:line="259" w:lineRule="auto"/>
        <w:ind w:left="6958"/>
      </w:pPr>
      <w:r>
        <w:rPr>
          <w:rFonts w:ascii="Cambria Math" w:eastAsia="Cambria Math" w:hAnsi="Cambria Math" w:cs="Cambria Math"/>
        </w:rPr>
        <w:t>× 10</w:t>
      </w:r>
      <w:r>
        <w:rPr>
          <w:rFonts w:ascii="Cambria Math" w:eastAsia="Cambria Math" w:hAnsi="Cambria Math" w:cs="Cambria Math"/>
          <w:sz w:val="17"/>
        </w:rPr>
        <w:t>−17</w:t>
      </w:r>
      <w:r>
        <w:t xml:space="preserve"> </w:t>
      </w:r>
    </w:p>
    <w:p w14:paraId="51B1B597" w14:textId="77777777" w:rsidR="00C879EE" w:rsidRDefault="00000000">
      <w:pPr>
        <w:tabs>
          <w:tab w:val="center" w:pos="3017"/>
          <w:tab w:val="center" w:pos="5046"/>
          <w:tab w:val="center" w:pos="6860"/>
        </w:tabs>
        <w:spacing w:after="11"/>
        <w:ind w:left="0" w:firstLine="0"/>
      </w:pPr>
      <w:r>
        <w:rPr>
          <w:rFonts w:ascii="Calibri" w:eastAsia="Calibri" w:hAnsi="Calibri" w:cs="Calibri"/>
          <w:sz w:val="22"/>
        </w:rPr>
        <w:tab/>
      </w:r>
      <w:r>
        <w:t xml:space="preserve">Height </w:t>
      </w:r>
      <w:r>
        <w:tab/>
        <w:t xml:space="preserve">Predicted time </w:t>
      </w:r>
      <w:r>
        <w:tab/>
        <w:t xml:space="preserve">Measured time </w:t>
      </w:r>
    </w:p>
    <w:p w14:paraId="29904297" w14:textId="77777777" w:rsidR="00C879EE" w:rsidRDefault="00000000">
      <w:pPr>
        <w:tabs>
          <w:tab w:val="center" w:pos="3194"/>
          <w:tab w:val="center" w:pos="4519"/>
          <w:tab w:val="center" w:pos="6320"/>
          <w:tab w:val="center" w:pos="8567"/>
        </w:tabs>
        <w:spacing w:after="11"/>
        <w:ind w:left="0" w:firstLine="0"/>
      </w:pPr>
      <w:r>
        <w:t xml:space="preserve">Experiment </w:t>
      </w:r>
      <w:r>
        <w:tab/>
        <w:t xml:space="preserve">difference </w:t>
      </w:r>
      <w:r>
        <w:tab/>
        <w:t xml:space="preserve">shift </w:t>
      </w:r>
      <w:r>
        <w:tab/>
        <w:t xml:space="preserve">shift </w:t>
      </w:r>
      <w:r>
        <w:tab/>
        <w:t xml:space="preserve">Agreement </w:t>
      </w:r>
    </w:p>
    <w:p w14:paraId="1E576171" w14:textId="77777777" w:rsidR="00C879EE" w:rsidRDefault="00000000">
      <w:pPr>
        <w:spacing w:after="43" w:line="259" w:lineRule="auto"/>
        <w:ind w:left="0" w:firstLine="0"/>
        <w:jc w:val="center"/>
      </w:pPr>
      <w:r>
        <w:rPr>
          <w:rFonts w:ascii="Calibri" w:eastAsia="Calibri" w:hAnsi="Calibri" w:cs="Calibri"/>
          <w:noProof/>
          <w:sz w:val="22"/>
        </w:rPr>
        <mc:AlternateContent>
          <mc:Choice Requires="wpg">
            <w:drawing>
              <wp:inline distT="0" distB="0" distL="0" distR="0" wp14:anchorId="12D2DE60" wp14:editId="3EA9BAEE">
                <wp:extent cx="5868365" cy="1524"/>
                <wp:effectExtent l="0" t="0" r="0" b="0"/>
                <wp:docPr id="18617" name="Group 18617"/>
                <wp:cNvGraphicFramePr/>
                <a:graphic xmlns:a="http://schemas.openxmlformats.org/drawingml/2006/main">
                  <a:graphicData uri="http://schemas.microsoft.com/office/word/2010/wordprocessingGroup">
                    <wpg:wgp>
                      <wpg:cNvGrpSpPr/>
                      <wpg:grpSpPr>
                        <a:xfrm>
                          <a:off x="0" y="0"/>
                          <a:ext cx="5868365" cy="1524"/>
                          <a:chOff x="0" y="0"/>
                          <a:chExt cx="5868365" cy="1524"/>
                        </a:xfrm>
                      </wpg:grpSpPr>
                      <wps:wsp>
                        <wps:cNvPr id="24602" name="Shape 24602"/>
                        <wps:cNvSpPr/>
                        <wps:spPr>
                          <a:xfrm>
                            <a:off x="0" y="0"/>
                            <a:ext cx="1629410" cy="9144"/>
                          </a:xfrm>
                          <a:custGeom>
                            <a:avLst/>
                            <a:gdLst/>
                            <a:ahLst/>
                            <a:cxnLst/>
                            <a:rect l="0" t="0" r="0" b="0"/>
                            <a:pathLst>
                              <a:path w="1629410" h="9144">
                                <a:moveTo>
                                  <a:pt x="0" y="0"/>
                                </a:moveTo>
                                <a:lnTo>
                                  <a:pt x="1629410" y="0"/>
                                </a:lnTo>
                                <a:lnTo>
                                  <a:pt x="16294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03" name="Shape 24603"/>
                        <wps:cNvSpPr/>
                        <wps:spPr>
                          <a:xfrm>
                            <a:off x="162948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04" name="Shape 24604"/>
                        <wps:cNvSpPr/>
                        <wps:spPr>
                          <a:xfrm>
                            <a:off x="1631010" y="0"/>
                            <a:ext cx="1025652" cy="9144"/>
                          </a:xfrm>
                          <a:custGeom>
                            <a:avLst/>
                            <a:gdLst/>
                            <a:ahLst/>
                            <a:cxnLst/>
                            <a:rect l="0" t="0" r="0" b="0"/>
                            <a:pathLst>
                              <a:path w="1025652" h="9144">
                                <a:moveTo>
                                  <a:pt x="0" y="0"/>
                                </a:moveTo>
                                <a:lnTo>
                                  <a:pt x="1025652" y="0"/>
                                </a:lnTo>
                                <a:lnTo>
                                  <a:pt x="10256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05" name="Shape 24605"/>
                        <wps:cNvSpPr/>
                        <wps:spPr>
                          <a:xfrm>
                            <a:off x="265666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06" name="Shape 24606"/>
                        <wps:cNvSpPr/>
                        <wps:spPr>
                          <a:xfrm>
                            <a:off x="2658186" y="0"/>
                            <a:ext cx="1141781" cy="9144"/>
                          </a:xfrm>
                          <a:custGeom>
                            <a:avLst/>
                            <a:gdLst/>
                            <a:ahLst/>
                            <a:cxnLst/>
                            <a:rect l="0" t="0" r="0" b="0"/>
                            <a:pathLst>
                              <a:path w="1141781" h="9144">
                                <a:moveTo>
                                  <a:pt x="0" y="0"/>
                                </a:moveTo>
                                <a:lnTo>
                                  <a:pt x="1141781" y="0"/>
                                </a:lnTo>
                                <a:lnTo>
                                  <a:pt x="11417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07" name="Shape 24607"/>
                        <wps:cNvSpPr/>
                        <wps:spPr>
                          <a:xfrm>
                            <a:off x="37999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08" name="Shape 24608"/>
                        <wps:cNvSpPr/>
                        <wps:spPr>
                          <a:xfrm>
                            <a:off x="3801440" y="0"/>
                            <a:ext cx="1210361" cy="9144"/>
                          </a:xfrm>
                          <a:custGeom>
                            <a:avLst/>
                            <a:gdLst/>
                            <a:ahLst/>
                            <a:cxnLst/>
                            <a:rect l="0" t="0" r="0" b="0"/>
                            <a:pathLst>
                              <a:path w="1210361" h="9144">
                                <a:moveTo>
                                  <a:pt x="0" y="0"/>
                                </a:moveTo>
                                <a:lnTo>
                                  <a:pt x="1210361" y="0"/>
                                </a:lnTo>
                                <a:lnTo>
                                  <a:pt x="12103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09" name="Shape 24609"/>
                        <wps:cNvSpPr/>
                        <wps:spPr>
                          <a:xfrm>
                            <a:off x="501187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10" name="Shape 24610"/>
                        <wps:cNvSpPr/>
                        <wps:spPr>
                          <a:xfrm>
                            <a:off x="5013401" y="0"/>
                            <a:ext cx="854964" cy="9144"/>
                          </a:xfrm>
                          <a:custGeom>
                            <a:avLst/>
                            <a:gdLst/>
                            <a:ahLst/>
                            <a:cxnLst/>
                            <a:rect l="0" t="0" r="0" b="0"/>
                            <a:pathLst>
                              <a:path w="854964" h="9144">
                                <a:moveTo>
                                  <a:pt x="0" y="0"/>
                                </a:moveTo>
                                <a:lnTo>
                                  <a:pt x="854964" y="0"/>
                                </a:lnTo>
                                <a:lnTo>
                                  <a:pt x="8549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8617" style="width:462.076pt;height:0.119995pt;mso-position-horizontal-relative:char;mso-position-vertical-relative:line" coordsize="58683,15">
                <v:shape id="Shape 24611" style="position:absolute;width:16294;height:91;left:0;top:0;" coordsize="1629410,9144" path="m0,0l1629410,0l1629410,9144l0,9144l0,0">
                  <v:stroke weight="0pt" endcap="flat" joinstyle="miter" miterlimit="10" on="false" color="#000000" opacity="0"/>
                  <v:fill on="true" color="#000000"/>
                </v:shape>
                <v:shape id="Shape 24612" style="position:absolute;width:91;height:91;left:16294;top:0;" coordsize="9144,9144" path="m0,0l9144,0l9144,9144l0,9144l0,0">
                  <v:stroke weight="0pt" endcap="flat" joinstyle="miter" miterlimit="10" on="false" color="#000000" opacity="0"/>
                  <v:fill on="true" color="#000000"/>
                </v:shape>
                <v:shape id="Shape 24613" style="position:absolute;width:10256;height:91;left:16310;top:0;" coordsize="1025652,9144" path="m0,0l1025652,0l1025652,9144l0,9144l0,0">
                  <v:stroke weight="0pt" endcap="flat" joinstyle="miter" miterlimit="10" on="false" color="#000000" opacity="0"/>
                  <v:fill on="true" color="#000000"/>
                </v:shape>
                <v:shape id="Shape 24614" style="position:absolute;width:91;height:91;left:26566;top:0;" coordsize="9144,9144" path="m0,0l9144,0l9144,9144l0,9144l0,0">
                  <v:stroke weight="0pt" endcap="flat" joinstyle="miter" miterlimit="10" on="false" color="#000000" opacity="0"/>
                  <v:fill on="true" color="#000000"/>
                </v:shape>
                <v:shape id="Shape 24615" style="position:absolute;width:11417;height:91;left:26581;top:0;" coordsize="1141781,9144" path="m0,0l1141781,0l1141781,9144l0,9144l0,0">
                  <v:stroke weight="0pt" endcap="flat" joinstyle="miter" miterlimit="10" on="false" color="#000000" opacity="0"/>
                  <v:fill on="true" color="#000000"/>
                </v:shape>
                <v:shape id="Shape 24616" style="position:absolute;width:91;height:91;left:37999;top:0;" coordsize="9144,9144" path="m0,0l9144,0l9144,9144l0,9144l0,0">
                  <v:stroke weight="0pt" endcap="flat" joinstyle="miter" miterlimit="10" on="false" color="#000000" opacity="0"/>
                  <v:fill on="true" color="#000000"/>
                </v:shape>
                <v:shape id="Shape 24617" style="position:absolute;width:12103;height:91;left:38014;top:0;" coordsize="1210361,9144" path="m0,0l1210361,0l1210361,9144l0,9144l0,0">
                  <v:stroke weight="0pt" endcap="flat" joinstyle="miter" miterlimit="10" on="false" color="#000000" opacity="0"/>
                  <v:fill on="true" color="#000000"/>
                </v:shape>
                <v:shape id="Shape 24618" style="position:absolute;width:91;height:91;left:50118;top:0;" coordsize="9144,9144" path="m0,0l9144,0l9144,9144l0,9144l0,0">
                  <v:stroke weight="0pt" endcap="flat" joinstyle="miter" miterlimit="10" on="false" color="#000000" opacity="0"/>
                  <v:fill on="true" color="#000000"/>
                </v:shape>
                <v:shape id="Shape 24619" style="position:absolute;width:8549;height:91;left:50134;top:0;" coordsize="854964,9144" path="m0,0l854964,0l854964,9144l0,9144l0,0">
                  <v:stroke weight="0pt" endcap="flat" joinstyle="miter" miterlimit="10" on="false" color="#000000" opacity="0"/>
                  <v:fill on="true" color="#000000"/>
                </v:shape>
              </v:group>
            </w:pict>
          </mc:Fallback>
        </mc:AlternateContent>
      </w:r>
    </w:p>
    <w:tbl>
      <w:tblPr>
        <w:tblStyle w:val="TableGrid"/>
        <w:tblLook w:val="04A0" w:firstRow="1" w:lastRow="0" w:firstColumn="1" w:lastColumn="0" w:noHBand="0" w:noVBand="1"/>
        <w:tblW w:w="5000" w:type="pct"/>
        <w:tblLayout w:type="autofit"/>
        <w:jc w:val="center"/>
        <w:tblBorders>
          <w:top w:val="single" w:sz="6" w:space="0" w:color="4472C4"/>
          <w:left w:val="single" w:sz="6" w:space="0" w:color="4472C4"/>
          <w:bottom w:val="single" w:sz="6" w:space="0" w:color="4472C4"/>
          <w:right w:val="single" w:sz="6" w:space="0" w:color="4472C4"/>
          <w:insideH w:val="single" w:sz="4" w:space="0" w:color="8EAADB"/>
          <w:insideV w:val="single" w:sz="4" w:space="0" w:color="8EAADB"/>
        </w:tblBorders>
        <w:tblCellMar>
          <w:top w:w="40" w:type="dxa"/>
          <w:left w:w="80" w:type="dxa"/>
          <w:bottom w:w="40" w:type="dxa"/>
          <w:right w:w="80" w:type="dxa"/>
        </w:tblCellMar>
      </w:tblPr>
      <w:tblGrid>
        <w:gridCol/>
        <w:gridCol/>
        <w:gridCol/>
        <w:gridCol/>
        <w:gridCol/>
      </w:tblGrid>
      <w:tr w:rsidR="00C879EE" w14:paraId="30EFE88E" w14:textId="77777777">
        <w:trPr>
          <w:trHeight w:val="596"/>
        </w:trPr>
        <w:tc>
          <w:tcPr>
            <w:tcW w:w="1000" w:type="pct"/>
            <w:tcBorders>
              <w:top w:val="single" w:sz="4" w:space="0" w:color="8EAADB"/>
              <w:left w:val="single" w:sz="4" w:space="0" w:color="8EAADB"/>
              <w:bottom w:val="single" w:sz="4" w:space="0" w:color="8EAADB"/>
              <w:right w:val="single" w:sz="4" w:space="0" w:color="8EAADB"/>
            </w:tcBorders>
            <w:vAlign w:val="center"/>
            <w:shd w:val="clear" w:color="auto" w:fill="D9E2F3"/>
          </w:tcPr>
          <w:p w14:paraId="1941E393" w14:textId="77777777" w:rsidR="00C879EE" w:rsidRDefault="00000000">
            <w:pPr>
              <w:spacing w:after="0" w:line="259" w:lineRule="auto"/>
              <w:ind w:left="0" w:firstLine="0"/>
            </w:pPr>
            <w:r>
              <w:rPr>
                <w:b/>
              </w:rPr>
              <w:t xml:space="preserve">Tokyo Skytree </w:t>
            </w:r>
          </w:p>
        </w:tc>
        <w:tc>
          <w:tcPr>
            <w:tcW w:w="1000" w:type="pct"/>
            <w:tcBorders>
              <w:top w:val="single" w:sz="4" w:space="0" w:color="8EAADB"/>
              <w:left w:val="single" w:sz="4" w:space="0" w:color="8EAADB"/>
              <w:bottom w:val="single" w:sz="4" w:space="0" w:color="8EAADB"/>
              <w:right w:val="single" w:sz="4" w:space="0" w:color="8EAADB"/>
            </w:tcBorders>
            <w:vAlign w:val="center"/>
            <w:shd w:val="clear" w:color="auto" w:fill="D9E2F3"/>
          </w:tcPr>
          <w:p w14:paraId="0FC448BC" w14:textId="77777777" w:rsidR="00C879EE" w:rsidRDefault="00000000">
            <w:pPr>
              <w:spacing w:after="0" w:line="259" w:lineRule="auto"/>
              <w:ind w:left="0" w:firstLine="0"/>
            </w:pPr>
            <w:r>
              <w:rPr>
                <w:b/>
              </w:rPr>
              <w:t xml:space="preserve">450 m </w:t>
            </w:r>
          </w:p>
        </w:tc>
        <w:tc>
          <w:tcPr>
            <w:tcW w:w="1000" w:type="pct"/>
            <w:tcBorders>
              <w:top w:val="single" w:sz="4" w:space="0" w:color="8EAADB"/>
              <w:left w:val="single" w:sz="4" w:space="0" w:color="8EAADB"/>
              <w:bottom w:val="single" w:sz="4" w:space="0" w:color="8EAADB"/>
              <w:right w:val="single" w:sz="4" w:space="0" w:color="8EAADB"/>
            </w:tcBorders>
            <w:vAlign w:val="center"/>
            <w:shd w:val="clear" w:color="auto" w:fill="D9E2F3"/>
          </w:tcPr>
          <w:p w14:paraId="78270EF6" w14:textId="77777777" w:rsidR="00C879EE" w:rsidRDefault="00000000">
            <w:pPr>
              <w:spacing w:after="0" w:line="259" w:lineRule="auto"/>
              <w:ind w:left="197" w:firstLine="0"/>
            </w:pPr>
            <w:r>
              <w:rPr>
                <w:rFonts w:ascii="Cambria Math" w:eastAsia="Cambria Math" w:hAnsi="Cambria Math" w:cs="Cambria Math"/>
                <w:b/>
              </w:rPr>
              <w:t>5.2 × 10</w:t>
            </w:r>
            <w:r>
              <w:rPr>
                <w:rFonts w:ascii="Cambria Math" w:eastAsia="Cambria Math" w:hAnsi="Cambria Math" w:cs="Cambria Math"/>
                <w:b/>
                <w:vertAlign w:val="superscript"/>
              </w:rPr>
              <w:t>−14</w:t>
            </w:r>
            <w:r>
              <w:rPr>
                <w:b/>
              </w:rPr>
              <w:t xml:space="preserve"> </w:t>
            </w:r>
          </w:p>
        </w:tc>
        <w:tc>
          <w:tcPr>
            <w:tcW w:w="1000" w:type="pct"/>
            <w:tcBorders>
              <w:top w:val="single" w:sz="4" w:space="0" w:color="8EAADB"/>
              <w:left w:val="single" w:sz="4" w:space="0" w:color="8EAADB"/>
              <w:bottom w:val="single" w:sz="4" w:space="0" w:color="8EAADB"/>
              <w:right w:val="single" w:sz="4" w:space="0" w:color="8EAADB"/>
            </w:tcBorders>
            <w:vAlign w:val="center"/>
            <w:shd w:val="clear" w:color="auto" w:fill="D9E2F3"/>
          </w:tcPr>
          <w:p w14:paraId="0D75FC31" w14:textId="77777777" w:rsidR="00C879EE" w:rsidRDefault="00000000">
            <w:pPr>
              <w:spacing w:after="0" w:line="259" w:lineRule="auto"/>
              <w:ind w:left="0" w:firstLine="0"/>
            </w:pPr>
            <w:r>
              <w:rPr>
                <w:rFonts w:ascii="Cambria Math" w:eastAsia="Cambria Math" w:hAnsi="Cambria Math" w:cs="Cambria Math"/>
                <w:b/>
              </w:rPr>
              <w:t>(5.2 ± 0.5)</w:t>
            </w:r>
          </w:p>
          <w:p w14:paraId="02588AFE" w14:textId="77777777" w:rsidR="00C879EE" w:rsidRDefault="00000000">
            <w:pPr>
              <w:spacing w:after="0" w:line="259" w:lineRule="auto"/>
              <w:ind w:left="0" w:right="225" w:firstLine="0"/>
              <w:jc w:val="right"/>
            </w:pPr>
            <w:r>
              <w:rPr>
                <w:rFonts w:ascii="Cambria Math" w:eastAsia="Cambria Math" w:hAnsi="Cambria Math" w:cs="Cambria Math"/>
                <w:b/>
              </w:rPr>
              <w:t>× 10</w:t>
            </w:r>
            <w:r>
              <w:rPr>
                <w:rFonts w:ascii="Cambria Math" w:eastAsia="Cambria Math" w:hAnsi="Cambria Math" w:cs="Cambria Math"/>
                <w:b/>
                <w:sz w:val="17"/>
              </w:rPr>
              <w:t>−14</w:t>
            </w:r>
            <w:r>
              <w:rPr>
                <w:b/>
              </w:rPr>
              <w:t xml:space="preserve"> </w:t>
            </w:r>
          </w:p>
        </w:tc>
        <w:tc>
          <w:tcPr>
            <w:tcW w:w="1000" w:type="pct"/>
            <w:tcBorders>
              <w:top w:val="single" w:sz="4" w:space="0" w:color="8EAADB"/>
              <w:left w:val="single" w:sz="4" w:space="0" w:color="8EAADB"/>
              <w:bottom w:val="single" w:sz="4" w:space="0" w:color="8EAADB"/>
              <w:right w:val="single" w:sz="4" w:space="0" w:color="8EAADB"/>
            </w:tcBorders>
            <w:vAlign w:val="center"/>
            <w:shd w:val="clear" w:color="auto" w:fill="D9E2F3"/>
          </w:tcPr>
          <w:p w14:paraId="19D8E5AD" w14:textId="77777777" w:rsidR="00C879EE" w:rsidRDefault="00000000">
            <w:pPr>
              <w:spacing w:after="0" w:line="259" w:lineRule="auto"/>
              <w:ind w:left="0" w:firstLine="0"/>
              <w:jc w:val="both"/>
            </w:pPr>
            <w:r>
              <w:rPr>
                <w:b/>
              </w:rPr>
              <w:t xml:space="preserve">Yes </w:t>
            </w:r>
          </w:p>
        </w:tc>
      </w:tr>
      <w:tr w:rsidR="00C879EE" w14:paraId="5FD47A88" w14:textId="77777777">
        <w:trPr>
          <w:trHeight w:val="596"/>
        </w:trPr>
        <w:tc>
          <w:tcPr>
            <w:tcW w:w="1000" w:type="pct"/>
            <w:tcBorders>
              <w:top w:val="single" w:sz="4" w:space="0" w:color="8EAADB"/>
              <w:left w:val="single" w:sz="4" w:space="0" w:color="8EAADB"/>
              <w:bottom w:val="single" w:sz="4" w:space="0" w:color="8EAADB"/>
              <w:right w:val="single" w:sz="4" w:space="0" w:color="8EAADB"/>
            </w:tcBorders>
            <w:vAlign w:val="center"/>
          </w:tcPr>
          <w:p w14:paraId="7EB95DBC" w14:textId="77777777" w:rsidR="00C879EE" w:rsidRDefault="00000000">
            <w:pPr>
              <w:spacing w:after="0" w:line="259" w:lineRule="auto"/>
              <w:ind w:left="0" w:firstLine="0"/>
            </w:pPr>
            <w:r>
              <w:t xml:space="preserve">Optical clock comparison (1 mm) </w:t>
            </w:r>
          </w:p>
        </w:tc>
        <w:tc>
          <w:tcPr>
            <w:tcW w:w="1000" w:type="pct"/>
            <w:tcBorders>
              <w:top w:val="single" w:sz="4" w:space="0" w:color="8EAADB"/>
              <w:left w:val="single" w:sz="4" w:space="0" w:color="8EAADB"/>
              <w:bottom w:val="single" w:sz="4" w:space="0" w:color="8EAADB"/>
              <w:right w:val="single" w:sz="4" w:space="0" w:color="8EAADB"/>
            </w:tcBorders>
            <w:vAlign w:val="center"/>
          </w:tcPr>
          <w:p w14:paraId="284DE072" w14:textId="77777777" w:rsidR="00C879EE" w:rsidRDefault="00000000">
            <w:pPr>
              <w:spacing w:after="0" w:line="259" w:lineRule="auto"/>
              <w:ind w:left="0" w:firstLine="0"/>
            </w:pPr>
            <w:r>
              <w:t xml:space="preserve">1 mm </w:t>
            </w:r>
          </w:p>
        </w:tc>
        <w:tc>
          <w:tcPr>
            <w:tcW w:w="1000" w:type="pct"/>
            <w:tcBorders>
              <w:top w:val="single" w:sz="4" w:space="0" w:color="8EAADB"/>
              <w:left w:val="single" w:sz="4" w:space="0" w:color="8EAADB"/>
              <w:bottom w:val="single" w:sz="4" w:space="0" w:color="8EAADB"/>
              <w:right w:val="single" w:sz="4" w:space="0" w:color="8EAADB"/>
            </w:tcBorders>
            <w:vAlign w:val="center"/>
          </w:tcPr>
          <w:p w14:paraId="4EA845A9" w14:textId="77777777" w:rsidR="00C879EE" w:rsidRDefault="00000000">
            <w:pPr>
              <w:spacing w:after="0" w:line="259" w:lineRule="auto"/>
              <w:ind w:left="199" w:firstLine="0"/>
            </w:pPr>
            <w:r>
              <w:rPr>
                <w:rFonts w:ascii="Cambria Math" w:eastAsia="Cambria Math" w:hAnsi="Cambria Math" w:cs="Cambria Math"/>
              </w:rPr>
              <w:t>1.1 × 10</w:t>
            </w:r>
            <w:r>
              <w:rPr>
                <w:rFonts w:ascii="Cambria Math" w:eastAsia="Cambria Math" w:hAnsi="Cambria Math" w:cs="Cambria Math"/>
                <w:vertAlign w:val="superscript"/>
              </w:rPr>
              <w:t>−19</w:t>
            </w:r>
            <w:r>
              <w:t xml:space="preserve"> </w:t>
            </w:r>
          </w:p>
        </w:tc>
        <w:tc>
          <w:tcPr>
            <w:tcW w:w="1000" w:type="pct"/>
            <w:tcBorders>
              <w:top w:val="single" w:sz="4" w:space="0" w:color="8EAADB"/>
              <w:left w:val="single" w:sz="4" w:space="0" w:color="8EAADB"/>
              <w:bottom w:val="single" w:sz="4" w:space="0" w:color="8EAADB"/>
              <w:right w:val="single" w:sz="4" w:space="0" w:color="8EAADB"/>
            </w:tcBorders>
            <w:vAlign w:val="center"/>
          </w:tcPr>
          <w:p w14:paraId="288552D7" w14:textId="77777777" w:rsidR="00C879EE" w:rsidRDefault="00000000">
            <w:pPr>
              <w:spacing w:after="0" w:line="259" w:lineRule="auto"/>
              <w:ind w:left="0" w:firstLine="0"/>
            </w:pPr>
            <w:r>
              <w:rPr>
                <w:rFonts w:ascii="Cambria Math" w:eastAsia="Cambria Math" w:hAnsi="Cambria Math" w:cs="Cambria Math"/>
              </w:rPr>
              <w:t>(1.0 ± 0.3)</w:t>
            </w:r>
          </w:p>
          <w:p w14:paraId="1DC7D1E8" w14:textId="77777777" w:rsidR="00C879EE" w:rsidRDefault="00000000">
            <w:pPr>
              <w:spacing w:after="0" w:line="259" w:lineRule="auto"/>
              <w:ind w:left="0" w:right="225" w:firstLine="0"/>
              <w:jc w:val="right"/>
            </w:pPr>
            <w:r>
              <w:rPr>
                <w:rFonts w:ascii="Cambria Math" w:eastAsia="Cambria Math" w:hAnsi="Cambria Math" w:cs="Cambria Math"/>
              </w:rPr>
              <w:t>× 10</w:t>
            </w:r>
            <w:r>
              <w:rPr>
                <w:rFonts w:ascii="Cambria Math" w:eastAsia="Cambria Math" w:hAnsi="Cambria Math" w:cs="Cambria Math"/>
                <w:sz w:val="17"/>
              </w:rPr>
              <w:t>−19</w:t>
            </w:r>
            <w:r>
              <w:t xml:space="preserve"> </w:t>
            </w:r>
          </w:p>
        </w:tc>
        <w:tc>
          <w:tcPr>
            <w:tcW w:w="1000" w:type="pct"/>
            <w:tcBorders>
              <w:top w:val="single" w:sz="4" w:space="0" w:color="8EAADB"/>
              <w:left w:val="single" w:sz="4" w:space="0" w:color="8EAADB"/>
              <w:bottom w:val="single" w:sz="4" w:space="0" w:color="8EAADB"/>
              <w:right w:val="single" w:sz="4" w:space="0" w:color="8EAADB"/>
            </w:tcBorders>
            <w:vAlign w:val="center"/>
          </w:tcPr>
          <w:p w14:paraId="15CC75EB" w14:textId="77777777" w:rsidR="00C879EE" w:rsidRDefault="00000000">
            <w:pPr>
              <w:spacing w:after="0" w:line="259" w:lineRule="auto"/>
              <w:ind w:left="0" w:firstLine="0"/>
              <w:jc w:val="both"/>
            </w:pPr>
            <w:r>
              <w:t xml:space="preserve">Yes </w:t>
            </w:r>
          </w:p>
        </w:tc>
      </w:tr>
    </w:tbl>
    <w:p w14:paraId="756D9C27" w14:textId="77777777" w:rsidR="00C879EE" w:rsidRDefault="00000000">
      <w:pPr>
        <w:ind w:left="-5"/>
      </w:pPr>
      <w:r>
        <w:t xml:space="preserve">The ability to measure time dilation at the (10⁻¹⁹) level suggests that SSZ corrections may be detectable in quantum circuits if the effects accumulate sufficiently. </w:t>
      </w:r>
    </w:p>
    <w:p w14:paraId="090C81D4" w14:textId="77777777" w:rsidR="00C879EE" w:rsidRDefault="00000000">
      <w:pPr>
        <w:spacing w:after="0" w:line="391" w:lineRule="auto"/>
        <w:ind w:left="0" w:right="9350" w:firstLine="0"/>
      </w:pPr>
      <w:r>
        <w:t xml:space="preserve">                    </w:t>
      </w:r>
    </w:p>
    <w:p w14:paraId="3FDD46A8" w14:textId="77777777" w:rsidR="00C879EE" w:rsidRDefault="00000000">
      <w:pPr>
        <w:pStyle w:val="berschrift1"/>
        <w:spacing w:after="148"/>
        <w:ind w:left="381" w:hanging="396"/>
        <w:pageBreakBefore/>
      </w:pPr>
      <w:r>
        <w:t>Height</w:t>
      </w:r>
      <w:r>
        <w:rPr>
          <w:rFonts w:ascii="Cambria Math" w:eastAsia="Cambria Math" w:hAnsi="Cambria Math" w:cs="Cambria Math"/>
          <w:b w:val="0"/>
        </w:rPr>
        <w:t>‑</w:t>
      </w:r>
      <w:r>
        <w:t xml:space="preserve">Dependent Effects on Qubits </w:t>
      </w:r>
    </w:p>
    <w:p w14:paraId="26EC6E0E" w14:textId="77777777" w:rsidR="00C879EE" w:rsidRDefault="00000000">
      <w:pPr>
        <w:pStyle w:val="berschrift2"/>
        <w:ind w:left="513" w:hanging="528"/>
      </w:pPr>
      <w:r>
        <w:t xml:space="preserve">Segment density gradient </w:t>
      </w:r>
    </w:p>
    <w:p w14:paraId="5746CC73" w14:textId="77777777" w:rsidR="00C879EE" w:rsidRDefault="00000000">
      <w:pPr>
        <w:spacing w:after="11"/>
        <w:ind w:left="-5"/>
      </w:pPr>
      <w:r>
        <w:t xml:space="preserve">The derivative of the segment density with respect to height is the key quantity governing </w:t>
      </w:r>
    </w:p>
    <w:p w14:paraId="521E4EEA" w14:textId="77777777" w:rsidR="00C879EE" w:rsidRDefault="00000000">
      <w:pPr>
        <w:spacing w:after="0" w:line="392" w:lineRule="auto"/>
        <w:ind w:left="-5" w:right="4900"/>
      </w:pPr>
      <w:r>
        <w:t xml:space="preserve">SSZ effects. Differentiating Ξ(r) yields dΞ/dr = -r_s / (2r²) </w:t>
      </w:r>
    </w:p>
    <w:p w14:paraId="6FC63980" w14:textId="77777777" w:rsidR="00C879EE" w:rsidRDefault="00000000">
      <w:pPr>
        <w:spacing w:after="169" w:line="249" w:lineRule="auto"/>
        <w:ind w:left="-5" w:right="2"/>
      </w:pPr>
      <w:r>
        <w:lastRenderedPageBreak/>
        <w:t xml:space="preserve">At Earth’s surface Ξ(R_Earth) ≈ 6.96 × 10⁻¹⁰ this gradient evaluates to </w:t>
      </w:r>
    </w:p>
    <w:p w14:paraId="2298E32E" w14:textId="77777777" w:rsidR="00C879EE" w:rsidRDefault="00000000">
      <w:pPr>
        <w:spacing w:after="196"/>
        <w:ind w:left="-5"/>
      </w:pPr>
      <m:oMathPara>
        <m:oMath>
          <m:r>
            <m:rPr>
              <m:sty m:val="i"/>
            </m:rPr>
            <w:rPr>
              <w:rFonts w:ascii="Cambria Math" w:hAnsi="Cambria Math"/>
            </w:rPr>
            <m:t xml:space="preserve">dΞ/dr</m:t>
          </m:r>
          <m:sSub>
            <m:e>
              <m:r>
                <m:rPr>
                  <m:sty m:val="i"/>
                </m:rPr>
                <w:rPr>
                  <w:rFonts w:ascii="Cambria Math" w:hAnsi="Cambria Math"/>
                </w:rPr>
                <m:t xml:space="preserve">|</m:t>
              </m:r>
            </m:e>
            <m:sub>
              <m:r>
                <m:rPr>
                  <m:sty m:val="i"/>
                </m:rPr>
                <w:rPr>
                  <w:rFonts w:ascii="Cambria Math" w:hAnsi="Cambria Math"/>
                </w:rPr>
                <m:t xml:space="preserve">r=R_Earth</m:t>
              </m:r>
            </m:sub>
          </m:sSub>
          <m:r>
            <m:rPr>
              <m:sty m:val="i"/>
            </m:rPr>
            <w:rPr>
              <w:rFonts w:ascii="Cambria Math" w:hAnsi="Cambria Math"/>
            </w:rPr>
            <m:t xml:space="preserve"> ≈ 1.09 × </m:t>
          </m:r>
          <m:sSup>
            <m:e>
              <m:r>
                <m:rPr>
                  <m:sty m:val="i"/>
                </m:rPr>
                <w:rPr>
                  <w:rFonts w:ascii="Cambria Math" w:hAnsi="Cambria Math"/>
                </w:rPr>
                <m:t xml:space="preserve">10</m:t>
              </m:r>
            </m:e>
            <m:sup>
              <m:r>
                <m:rPr>
                  <m:sty m:val="i"/>
                </m:rPr>
                <w:rPr>
                  <w:rFonts w:ascii="Cambria Math" w:hAnsi="Cambria Math"/>
                </w:rPr>
                <m:t xml:space="preserve">-16</m:t>
              </m:r>
            </m:sup>
          </m:sSup>
          <m:r>
            <m:rPr>
              <m:sty m:val="i"/>
            </m:rPr>
            <w:rPr>
              <w:rFonts w:ascii="Cambria Math" w:hAnsi="Cambria Math"/>
            </w:rPr>
            <m:t xml:space="preserve"> </m:t>
          </m:r>
          <m:sSup>
            <m:e>
              <m:r>
                <m:rPr>
                  <m:sty m:val="i"/>
                </m:rPr>
                <w:rPr>
                  <w:rFonts w:ascii="Cambria Math" w:hAnsi="Cambria Math"/>
                </w:rPr>
                <m:t xml:space="preserve">m</m:t>
              </m:r>
            </m:e>
            <m:sup>
              <m:r>
                <m:rPr>
                  <m:sty m:val="i"/>
                </m:rPr>
                <w:rPr>
                  <w:rFonts w:ascii="Cambria Math" w:hAnsi="Cambria Math"/>
                </w:rPr>
                <m:t xml:space="preserve">-1</m:t>
              </m:r>
            </m:sup>
          </m:sSup>
        </m:oMath>
      </m:oMathPara>
    </w:p>
    <w:p w14:paraId="5E5022F7" w14:textId="77777777" w:rsidR="00C879EE" w:rsidRDefault="00000000">
      <w:pPr>
        <w:spacing w:after="128"/>
        <w:ind w:left="-5"/>
      </w:pPr>
      <w:r>
        <w:t xml:space="preserve">meaning that a 1 mm height difference produces a change in segment density of order (10⁻¹⁹). Figure 3 illustrates the gradient around Earth: the blue line shows Ξ(r), while the orange line (secondary axis) shows dΞ/dr. The gradient falls off as (1/r²) and is only significant near the planet’s centre. </w:t>
      </w:r>
    </w:p>
    <w:p w14:paraId="435A53F8" w14:textId="77777777" w:rsidR="00C879EE" w:rsidRDefault="00000000">
      <w:pPr>
        <w:spacing w:after="122" w:line="259" w:lineRule="auto"/>
        <w:ind w:left="0" w:right="327" w:firstLine="0"/>
        <w:jc w:val="center"/>
      </w:pPr>
      <w:r>
        <w:rPr>
          <w:noProof/>
        </w:rPr>
        <w:drawing>
          <wp:inline distT="0" distB="0" distL="0" distR="0" wp14:anchorId="107513D5" wp14:editId="76867DE9">
            <wp:extent cx="5485638" cy="3422015"/>
            <wp:effectExtent l="0" t="0" r="0" b="0"/>
            <wp:docPr id="869" name="Picture 869"/>
            <wp:cNvGraphicFramePr/>
            <a:graphic xmlns:a="http://schemas.openxmlformats.org/drawingml/2006/main">
              <a:graphicData uri="http://schemas.openxmlformats.org/drawingml/2006/picture">
                <pic:pic xmlns:pic="http://schemas.openxmlformats.org/drawingml/2006/picture">
                  <pic:nvPicPr>
                    <pic:cNvPr id="869" name="Picture 869"/>
                    <pic:cNvPicPr/>
                  </pic:nvPicPr>
                  <pic:blipFill>
                    <a:blip r:embed="rId7"/>
                    <a:stretch>
                      <a:fillRect/>
                    </a:stretch>
                  </pic:blipFill>
                  <pic:spPr>
                    <a:xfrm>
                      <a:off x="0" y="0"/>
                      <a:ext cx="5485638" cy="3422015"/>
                    </a:xfrm>
                    <a:prstGeom prst="rect">
                      <a:avLst/>
                    </a:prstGeom>
                  </pic:spPr>
                </pic:pic>
              </a:graphicData>
            </a:graphic>
          </wp:inline>
        </w:drawing>
      </w:r>
      <w:r>
        <w:t xml:space="preserve"> </w:t>
      </w:r>
    </w:p>
    <w:p w14:paraId="7B541CB1" w14:textId="77777777" w:rsidR="00C879EE" w:rsidRDefault="00000000">
      <w:pPr>
        <w:spacing w:after="169" w:line="249" w:lineRule="auto"/>
        <w:ind w:left="-5" w:right="344"/>
      </w:pPr>
      <w:r>
        <w:t xml:space="preserve">Segment density gradient near Earth. The blue curve shows Ξ(r), and the orange curve (right axis) shows dΞ/dr around the Earth’s radius. The gradient at the surface is 1.09 × 10⁻¹⁶ m⁻¹, so a 1 mm difference corresponds to ΔΞ ≈ 10⁻¹⁹. </w:t>
      </w:r>
    </w:p>
    <w:p w14:paraId="64DDBD11" w14:textId="77777777" w:rsidR="00C879EE" w:rsidRDefault="00000000">
      <w:pPr>
        <w:spacing w:after="174" w:line="259" w:lineRule="auto"/>
        <w:ind w:left="0" w:firstLine="0"/>
      </w:pPr>
      <w:r>
        <w:t xml:space="preserve"> </w:t>
      </w:r>
    </w:p>
    <w:p w14:paraId="29AB1E4D" w14:textId="77777777" w:rsidR="00C879EE" w:rsidRDefault="00000000">
      <w:pPr>
        <w:pStyle w:val="berschrift2"/>
        <w:ind w:left="511" w:hanging="526"/>
      </w:pPr>
      <w:r>
        <w:t xml:space="preserve">Time dilation versus height difference </w:t>
      </w:r>
    </w:p>
    <w:p w14:paraId="24B643BF" w14:textId="77777777" w:rsidR="00C879EE" w:rsidRDefault="00000000">
      <w:pPr>
        <w:spacing w:after="169" w:line="249" w:lineRule="auto"/>
        <w:ind w:left="-5" w:right="2"/>
      </w:pPr>
      <w:r>
        <w:t xml:space="preserve">The time‑dilation factor varies with height according to the difference between SSZ factors at two radii: </w:t>
      </w:r>
    </w:p>
    <w:p w14:paraId="7F51ACB5" w14:textId="77777777" w:rsidR="00C879EE" w:rsidRDefault="00000000">
      <w:pPr>
        <w:ind w:left="-5"/>
      </w:pPr>
      <m:oMathPara>
        <m:oMath>
          <m:r>
            <m:rPr>
              <m:sty m:val="i"/>
            </m:rPr>
            <w:rPr>
              <w:rFonts w:ascii="Cambria Math" w:hAnsi="Cambria Math"/>
            </w:rPr>
            <m:t xml:space="preserve">ΔD = </m:t>
          </m:r>
          <m:sSub>
            <m:e>
              <m:r>
                <m:rPr>
                  <m:sty m:val="i"/>
                </m:rPr>
                <w:rPr>
                  <w:rFonts w:ascii="Cambria Math" w:hAnsi="Cambria Math"/>
                </w:rPr>
                <m:t xml:space="preserve">D</m:t>
              </m:r>
            </m:e>
            <m:sub>
              <m:r>
                <m:rPr>
                  <m:sty m:val="i"/>
                </m:rPr>
                <w:rPr>
                  <w:rFonts w:ascii="Cambria Math" w:hAnsi="Cambria Math"/>
                </w:rPr>
                <m:t xml:space="preserve">SSZ</m:t>
              </m:r>
            </m:sub>
          </m:sSub>
          <m:r>
            <m:rPr>
              <m:sty m:val="i"/>
            </m:rPr>
            <w:rPr>
              <w:rFonts w:ascii="Cambria Math" w:hAnsi="Cambria Math"/>
            </w:rPr>
            <m:t xml:space="preserve">(</m:t>
          </m:r>
          <m:sSub>
            <m:e>
              <m:r>
                <m:rPr>
                  <m:sty m:val="i"/>
                </m:rPr>
                <w:rPr>
                  <w:rFonts w:ascii="Cambria Math" w:hAnsi="Cambria Math"/>
                </w:rPr>
                <m:t xml:space="preserve">r</m:t>
              </m:r>
            </m:e>
            <m:sub>
              <m:r>
                <m:rPr>
                  <m:sty m:val="i"/>
                </m:rPr>
                <w:rPr>
                  <w:rFonts w:ascii="Cambria Math" w:hAnsi="Cambria Math"/>
                </w:rPr>
                <m:t xml:space="preserve">1</m:t>
              </m:r>
            </m:sub>
          </m:sSub>
          <m:r>
            <m:rPr>
              <m:sty m:val="i"/>
            </m:rPr>
            <w:rPr>
              <w:rFonts w:ascii="Cambria Math" w:hAnsi="Cambria Math"/>
            </w:rPr>
            <m:t xml:space="preserve">) - </m:t>
          </m:r>
          <m:sSub>
            <m:e>
              <m:r>
                <m:rPr>
                  <m:sty m:val="i"/>
                </m:rPr>
                <w:rPr>
                  <w:rFonts w:ascii="Cambria Math" w:hAnsi="Cambria Math"/>
                </w:rPr>
                <m:t xml:space="preserve">D</m:t>
              </m:r>
            </m:e>
            <m:sub>
              <m:r>
                <m:rPr>
                  <m:sty m:val="i"/>
                </m:rPr>
                <w:rPr>
                  <w:rFonts w:ascii="Cambria Math" w:hAnsi="Cambria Math"/>
                </w:rPr>
                <m:t xml:space="preserve">SSZ</m:t>
              </m:r>
            </m:sub>
          </m:sSub>
          <m:r>
            <m:rPr>
              <m:sty m:val="i"/>
            </m:rPr>
            <w:rPr>
              <w:rFonts w:ascii="Cambria Math" w:hAnsi="Cambria Math"/>
            </w:rPr>
            <m:t xml:space="preserve">(</m:t>
          </m:r>
          <m:sSub>
            <m:e>
              <m:r>
                <m:rPr>
                  <m:sty m:val="i"/>
                </m:rPr>
                <w:rPr>
                  <w:rFonts w:ascii="Cambria Math" w:hAnsi="Cambria Math"/>
                </w:rPr>
                <m:t xml:space="preserve">r</m:t>
              </m:r>
            </m:e>
            <m:sub>
              <m:r>
                <m:rPr>
                  <m:sty m:val="i"/>
                </m:rPr>
                <w:rPr>
                  <w:rFonts w:ascii="Cambria Math" w:hAnsi="Cambria Math"/>
                </w:rPr>
                <m:t xml:space="preserve">2</m:t>
              </m:r>
            </m:sub>
          </m:sSub>
          <m:r>
            <m:rPr>
              <m:sty m:val="i"/>
            </m:rPr>
            <w:rPr>
              <w:rFonts w:ascii="Cambria Math" w:hAnsi="Cambria Math"/>
            </w:rPr>
            <m:t xml:space="preserve">) ≈ </m:t>
          </m:r>
          <m:sSub>
            <m:e>
              <m:r>
                <m:rPr>
                  <m:sty m:val="i"/>
                </m:rPr>
                <w:rPr>
                  <w:rFonts w:ascii="Cambria Math" w:hAnsi="Cambria Math"/>
                </w:rPr>
                <m:t xml:space="preserve">r</m:t>
              </m:r>
            </m:e>
            <m:sub>
              <m:r>
                <m:rPr>
                  <m:sty m:val="i"/>
                </m:rPr>
                <w:rPr>
                  <w:rFonts w:ascii="Cambria Math" w:hAnsi="Cambria Math"/>
                </w:rPr>
                <m:t xml:space="preserve">s</m:t>
              </m:r>
            </m:sub>
          </m:sSub>
          <m:r>
            <m:rPr>
              <m:sty m:val="i"/>
            </m:rPr>
            <w:rPr>
              <w:rFonts w:ascii="Cambria Math" w:hAnsi="Cambria Math"/>
            </w:rPr>
            <m:t xml:space="preserve"> × Δh / (</m:t>
          </m:r>
          <m:sSup>
            <m:e>
              <m:r>
                <m:rPr>
                  <m:sty m:val="i"/>
                </m:rPr>
                <w:rPr>
                  <w:rFonts w:ascii="Cambria Math" w:hAnsi="Cambria Math"/>
                </w:rPr>
                <m:t xml:space="preserve">2R</m:t>
              </m:r>
            </m:e>
            <m:sup>
              <m:r>
                <m:rPr>
                  <m:sty m:val="i"/>
                </m:rPr>
                <w:rPr>
                  <w:rFonts w:ascii="Cambria Math" w:hAnsi="Cambria Math"/>
                </w:rPr>
                <m:t xml:space="preserve">2</m:t>
              </m:r>
            </m:sup>
          </m:sSup>
          <m:r>
            <m:rPr>
              <m:sty m:val="i"/>
            </m:rPr>
            <w:rPr>
              <w:rFonts w:ascii="Cambria Math" w:hAnsi="Cambria Math"/>
            </w:rPr>
            <m:t xml:space="preserve">)</m:t>
          </m:r>
        </m:oMath>
      </m:oMathPara>
    </w:p>
    <w:p w14:paraId="7B5B900A" w14:textId="77777777" w:rsidR="00C879EE" w:rsidRDefault="00000000">
      <w:pPr>
        <w:spacing w:after="11"/>
        <w:ind w:left="-5"/>
      </w:pPr>
      <w:r>
        <w:t xml:space="preserve">where (h = h_1 - h_2) is the height difference and we have linearised for Δh ≪ R_Earth. </w:t>
      </w:r>
    </w:p>
    <w:p w14:paraId="02B1CC3E" w14:textId="77777777" w:rsidR="00C879EE" w:rsidRDefault="00000000">
      <w:pPr>
        <w:spacing w:after="11" w:line="249" w:lineRule="auto"/>
        <w:ind w:left="-5" w:right="2"/>
      </w:pPr>
      <w:r>
        <w:t xml:space="preserve">Substituting Earth’s parameters yields a relative drift of 1.1 × 10⁻¹⁹ s/s per millimetre. </w:t>
      </w:r>
    </w:p>
    <w:p w14:paraId="79F51CB2" w14:textId="77777777" w:rsidR="00C879EE" w:rsidRDefault="00000000">
      <w:pPr>
        <w:ind w:left="-5"/>
        <w:jc w:val="center"/>
      </w:pPr>
      <w:r>
        <w:t xml:space="preserve">Figure 4 plots the time‑dilation deviation from unity as a function of (h) up to 10 cm. Horizontal reference lines at (10⁻¹⁶), (10⁻¹⁹) and (10⁻²²) highlight the orders of magnitude involved. Even a 1 cm difference yields a drift of only (10⁻¹⁷) per second, illustrating why long circuits are needed to observe the effect. </w:t>
      </w:r>
    </w:p>
    <w:p w14:paraId="4B5ABF05" w14:textId="77777777" w:rsidR="00C879EE" w:rsidRDefault="00000000">
      <w:pPr>
        <w:ind w:left="-5"/>
      </w:pPr>
      <w:r>
        <w:t xml:space="preserve">Time dilation factor deviation vs. height difference. The SSZ time‑dilation factor deviates from unity by (10⁻¹⁹) per millimetre. Dashed lines mark the (10⁻¹⁶), (10⁻¹⁹) and (10⁻²²) thresholds. </w:t>
      </w:r>
    </w:p>
    <w:p w14:paraId="735EF203" w14:textId="77777777" w:rsidR="00C879EE" w:rsidRDefault="00000000">
      <w:pPr>
        <w:spacing w:after="190" w:line="259" w:lineRule="auto"/>
        <w:ind w:left="0" w:firstLine="0"/>
      </w:pPr>
      <w:r>
        <w:t xml:space="preserve"> </w:t>
      </w:r>
    </w:p>
    <w:p w14:paraId="1C775D12" w14:textId="77777777" w:rsidR="00C879EE" w:rsidRDefault="00000000">
      <w:pPr>
        <w:pStyle w:val="berschrift2"/>
        <w:ind w:left="513" w:hanging="528"/>
      </w:pPr>
      <w:r>
        <w:t xml:space="preserve">Critical scales and time drift </w:t>
      </w:r>
    </w:p>
    <w:p w14:paraId="2A3A384F" w14:textId="77777777" w:rsidR="00C879EE" w:rsidRDefault="00000000">
      <w:pPr>
        <w:spacing w:after="205"/>
        <w:ind w:left="-5"/>
      </w:pPr>
      <w:r>
        <w:t xml:space="preserve">To assess the relevance of SSZ corrections we compute the segment density difference (ΔΞ) and the corresponding time drift per second for various height differences. Table 3 lists these values from nanometre to metre scales and labels their relevance. Nanometre variations produce drifts of (10⁻²⁵) s/s—negligible compared with other noise sources—whereas millimetre‑to‑centimetre differences yield drifts of 10⁻¹⁹–10⁻¹⁷ s/s, which become testable only in optical-clock–class timing/phase metrology; superconducting qubit platforms at mm-scale operate in an upper-bound regime. The bar chart in Figure 5 summarises the regimes where SSZ corrections are negligible, modelable, significant or dominant. </w:t>
      </w:r>
      <w:r>
        <w:rPr>
          <w:b/>
        </w:rPr>
      </w:r>
      <w:r/>
      <w:r>
        <w:rPr>
          <w:vertAlign w:val="superscript"/>
        </w:rPr>
      </w:r>
      <w:r/>
    </w:p>
    <w:p w14:paraId="168EEE17" w14:textId="77777777" w:rsidR="00C879EE" w:rsidRDefault="00000000">
      <w:pPr>
        <w:spacing w:after="11"/>
        <w:ind w:left="118"/>
      </w:pPr>
      <w:r>
        <w:t xml:space="preserve">Height </w:t>
      </w:r>
    </w:p>
    <w:p w14:paraId="0450B576" w14:textId="77777777" w:rsidR="00C879EE" w:rsidRDefault="00000000">
      <w:pPr>
        <w:tabs>
          <w:tab w:val="center" w:pos="2448"/>
          <w:tab w:val="center" w:pos="4873"/>
          <w:tab w:val="center" w:pos="7568"/>
        </w:tabs>
        <w:spacing w:after="11"/>
        <w:ind w:left="0" w:firstLine="0"/>
      </w:pPr>
      <w:r>
        <w:t xml:space="preserve">difference </w:t>
      </w:r>
      <w:r>
        <w:tab/>
        <w:t xml:space="preserve">ΔΞ (approx.) </w:t>
      </w:r>
      <w:r>
        <w:tab/>
        <w:t xml:space="preserve">Time drift per second </w:t>
      </w:r>
      <w:r>
        <w:tab/>
        <w:t xml:space="preserve">Relevance </w:t>
      </w:r>
    </w:p>
    <w:p w14:paraId="274E1FD3" w14:textId="77777777" w:rsidR="00C879EE" w:rsidRDefault="00000000">
      <w:pPr>
        <w:spacing w:after="74" w:line="259" w:lineRule="auto"/>
        <w:ind w:left="0" w:firstLine="0"/>
        <w:jc w:val="center"/>
      </w:pPr>
      <w:r>
        <w:rPr>
          <w:rFonts w:ascii="Calibri" w:eastAsia="Calibri" w:hAnsi="Calibri" w:cs="Calibri"/>
          <w:noProof/>
          <w:sz w:val="22"/>
        </w:rPr>
        <mc:AlternateContent>
          <mc:Choice Requires="wpg">
            <w:drawing>
              <wp:inline distT="0" distB="0" distL="0" distR="0" wp14:anchorId="209941F1" wp14:editId="32837C6A">
                <wp:extent cx="5827091" cy="1524"/>
                <wp:effectExtent l="0" t="0" r="0" b="0"/>
                <wp:docPr id="19449" name="Group 19449"/>
                <wp:cNvGraphicFramePr/>
                <a:graphic xmlns:a="http://schemas.openxmlformats.org/drawingml/2006/main">
                  <a:graphicData uri="http://schemas.microsoft.com/office/word/2010/wordprocessingGroup">
                    <wpg:wgp>
                      <wpg:cNvGrpSpPr/>
                      <wpg:grpSpPr>
                        <a:xfrm>
                          <a:off x="0" y="0"/>
                          <a:ext cx="5827091" cy="1524"/>
                          <a:chOff x="0" y="0"/>
                          <a:chExt cx="5827091" cy="1524"/>
                        </a:xfrm>
                      </wpg:grpSpPr>
                      <wps:wsp>
                        <wps:cNvPr id="24620" name="Shape 24620"/>
                        <wps:cNvSpPr/>
                        <wps:spPr>
                          <a:xfrm>
                            <a:off x="0" y="0"/>
                            <a:ext cx="952500" cy="9144"/>
                          </a:xfrm>
                          <a:custGeom>
                            <a:avLst/>
                            <a:gdLst/>
                            <a:ahLst/>
                            <a:cxnLst/>
                            <a:rect l="0" t="0" r="0" b="0"/>
                            <a:pathLst>
                              <a:path w="952500" h="9144">
                                <a:moveTo>
                                  <a:pt x="0" y="0"/>
                                </a:moveTo>
                                <a:lnTo>
                                  <a:pt x="952500" y="0"/>
                                </a:lnTo>
                                <a:lnTo>
                                  <a:pt x="9525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21" name="Shape 24621"/>
                        <wps:cNvSpPr/>
                        <wps:spPr>
                          <a:xfrm>
                            <a:off x="95244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22" name="Shape 24622"/>
                        <wps:cNvSpPr/>
                        <wps:spPr>
                          <a:xfrm>
                            <a:off x="953973" y="0"/>
                            <a:ext cx="1437386" cy="9144"/>
                          </a:xfrm>
                          <a:custGeom>
                            <a:avLst/>
                            <a:gdLst/>
                            <a:ahLst/>
                            <a:cxnLst/>
                            <a:rect l="0" t="0" r="0" b="0"/>
                            <a:pathLst>
                              <a:path w="1437386" h="9144">
                                <a:moveTo>
                                  <a:pt x="0" y="0"/>
                                </a:moveTo>
                                <a:lnTo>
                                  <a:pt x="1437386" y="0"/>
                                </a:lnTo>
                                <a:lnTo>
                                  <a:pt x="143738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23" name="Shape 24623"/>
                        <wps:cNvSpPr/>
                        <wps:spPr>
                          <a:xfrm>
                            <a:off x="239148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24" name="Shape 24624"/>
                        <wps:cNvSpPr/>
                        <wps:spPr>
                          <a:xfrm>
                            <a:off x="2393010" y="0"/>
                            <a:ext cx="1681226" cy="9144"/>
                          </a:xfrm>
                          <a:custGeom>
                            <a:avLst/>
                            <a:gdLst/>
                            <a:ahLst/>
                            <a:cxnLst/>
                            <a:rect l="0" t="0" r="0" b="0"/>
                            <a:pathLst>
                              <a:path w="1681226" h="9144">
                                <a:moveTo>
                                  <a:pt x="0" y="0"/>
                                </a:moveTo>
                                <a:lnTo>
                                  <a:pt x="1681226" y="0"/>
                                </a:lnTo>
                                <a:lnTo>
                                  <a:pt x="16812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25" name="Shape 24625"/>
                        <wps:cNvSpPr/>
                        <wps:spPr>
                          <a:xfrm>
                            <a:off x="40742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26" name="Shape 24626"/>
                        <wps:cNvSpPr/>
                        <wps:spPr>
                          <a:xfrm>
                            <a:off x="4075760" y="0"/>
                            <a:ext cx="1751330" cy="9144"/>
                          </a:xfrm>
                          <a:custGeom>
                            <a:avLst/>
                            <a:gdLst/>
                            <a:ahLst/>
                            <a:cxnLst/>
                            <a:rect l="0" t="0" r="0" b="0"/>
                            <a:pathLst>
                              <a:path w="1751330" h="9144">
                                <a:moveTo>
                                  <a:pt x="0" y="0"/>
                                </a:moveTo>
                                <a:lnTo>
                                  <a:pt x="1751330" y="0"/>
                                </a:lnTo>
                                <a:lnTo>
                                  <a:pt x="175133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9449" style="width:458.826pt;height:0.120026pt;mso-position-horizontal-relative:char;mso-position-vertical-relative:line" coordsize="58270,15">
                <v:shape id="Shape 24627" style="position:absolute;width:9525;height:91;left:0;top:0;" coordsize="952500,9144" path="m0,0l952500,0l952500,9144l0,9144l0,0">
                  <v:stroke weight="0pt" endcap="flat" joinstyle="miter" miterlimit="10" on="false" color="#000000" opacity="0"/>
                  <v:fill on="true" color="#000000"/>
                </v:shape>
                <v:shape id="Shape 24628" style="position:absolute;width:91;height:91;left:9524;top:0;" coordsize="9144,9144" path="m0,0l9144,0l9144,9144l0,9144l0,0">
                  <v:stroke weight="0pt" endcap="flat" joinstyle="miter" miterlimit="10" on="false" color="#000000" opacity="0"/>
                  <v:fill on="true" color="#000000"/>
                </v:shape>
                <v:shape id="Shape 24629" style="position:absolute;width:14373;height:91;left:9539;top:0;" coordsize="1437386,9144" path="m0,0l1437386,0l1437386,9144l0,9144l0,0">
                  <v:stroke weight="0pt" endcap="flat" joinstyle="miter" miterlimit="10" on="false" color="#000000" opacity="0"/>
                  <v:fill on="true" color="#000000"/>
                </v:shape>
                <v:shape id="Shape 24630" style="position:absolute;width:91;height:91;left:23914;top:0;" coordsize="9144,9144" path="m0,0l9144,0l9144,9144l0,9144l0,0">
                  <v:stroke weight="0pt" endcap="flat" joinstyle="miter" miterlimit="10" on="false" color="#000000" opacity="0"/>
                  <v:fill on="true" color="#000000"/>
                </v:shape>
                <v:shape id="Shape 24631" style="position:absolute;width:16812;height:91;left:23930;top:0;" coordsize="1681226,9144" path="m0,0l1681226,0l1681226,9144l0,9144l0,0">
                  <v:stroke weight="0pt" endcap="flat" joinstyle="miter" miterlimit="10" on="false" color="#000000" opacity="0"/>
                  <v:fill on="true" color="#000000"/>
                </v:shape>
                <v:shape id="Shape 24632" style="position:absolute;width:91;height:91;left:40742;top:0;" coordsize="9144,9144" path="m0,0l9144,0l9144,9144l0,9144l0,0">
                  <v:stroke weight="0pt" endcap="flat" joinstyle="miter" miterlimit="10" on="false" color="#000000" opacity="0"/>
                  <v:fill on="true" color="#000000"/>
                </v:shape>
                <v:shape id="Shape 24633" style="position:absolute;width:17513;height:91;left:40757;top:0;" coordsize="1751330,9144" path="m0,0l1751330,0l1751330,9144l0,9144l0,0">
                  <v:stroke weight="0pt" endcap="flat" joinstyle="miter" miterlimit="10" on="false" color="#000000" opacity="0"/>
                  <v:fill on="true" color="#000000"/>
                </v:shape>
              </v:group>
            </w:pict>
          </mc:Fallback>
        </mc:AlternateContent>
      </w:r>
    </w:p>
    <w:p w14:paraId="7B279EB7" w14:textId="77777777" w:rsidR="00C879EE" w:rsidRDefault="00000000">
      <w:pPr>
        <w:tabs>
          <w:tab w:val="center" w:pos="2631"/>
          <w:tab w:val="center" w:pos="4363"/>
          <w:tab w:val="center" w:pos="7506"/>
        </w:tabs>
        <w:spacing w:after="113"/>
        <w:ind w:left="0" w:firstLine="0"/>
      </w:pPr>
      <w:r>
        <w:t xml:space="preserve">1 nm </w:t>
      </w:r>
      <w:r>
        <w:tab/>
      </w:r>
      <w:r>
        <w:rPr>
          <w:rFonts w:ascii="Cambria Math" w:eastAsia="Cambria Math" w:hAnsi="Cambria Math" w:cs="Cambria Math"/>
        </w:rPr>
        <w:t>1.1 × 10</w:t>
      </w:r>
      <w:r>
        <w:rPr>
          <w:rFonts w:ascii="Cambria Math" w:eastAsia="Cambria Math" w:hAnsi="Cambria Math" w:cs="Cambria Math"/>
          <w:vertAlign w:val="superscript"/>
        </w:rPr>
        <w:t>−25</w:t>
      </w:r>
      <w:r>
        <w:t xml:space="preserve"> </w:t>
      </w:r>
      <w:r>
        <w:tab/>
      </w:r>
      <w:r>
        <w:rPr>
          <w:rFonts w:ascii="Cambria Math" w:eastAsia="Cambria Math" w:hAnsi="Cambria Math" w:cs="Cambria Math"/>
        </w:rPr>
        <w:t>10</w:t>
      </w:r>
      <w:r>
        <w:rPr>
          <w:rFonts w:ascii="Cambria Math" w:eastAsia="Cambria Math" w:hAnsi="Cambria Math" w:cs="Cambria Math"/>
          <w:vertAlign w:val="superscript"/>
        </w:rPr>
        <w:t>−25</w:t>
      </w:r>
      <w:r>
        <w:t xml:space="preserve"> s/s </w:t>
      </w:r>
      <w:r>
        <w:tab/>
        <w:t xml:space="preserve">Negligible (atomic) </w:t>
      </w:r>
    </w:p>
    <w:p w14:paraId="3A00D41B" w14:textId="77777777" w:rsidR="00C879EE" w:rsidRDefault="00000000">
      <w:pPr>
        <w:tabs>
          <w:tab w:val="center" w:pos="2631"/>
          <w:tab w:val="center" w:pos="4363"/>
          <w:tab w:val="center" w:pos="7465"/>
        </w:tabs>
        <w:spacing w:after="111"/>
        <w:ind w:left="0" w:firstLine="0"/>
      </w:pPr>
      <w:r>
        <w:t xml:space="preserve">1 µm </w:t>
      </w:r>
      <w:r>
        <w:tab/>
      </w:r>
      <w:r>
        <w:rPr>
          <w:rFonts w:ascii="Cambria Math" w:eastAsia="Cambria Math" w:hAnsi="Cambria Math" w:cs="Cambria Math"/>
        </w:rPr>
        <w:t>1.1 × 10</w:t>
      </w:r>
      <w:r>
        <w:rPr>
          <w:rFonts w:ascii="Cambria Math" w:eastAsia="Cambria Math" w:hAnsi="Cambria Math" w:cs="Cambria Math"/>
          <w:vertAlign w:val="superscript"/>
        </w:rPr>
        <w:t>−22</w:t>
      </w:r>
      <w:r>
        <w:t xml:space="preserve"> </w:t>
      </w:r>
      <w:r>
        <w:tab/>
      </w:r>
      <w:r>
        <w:rPr>
          <w:rFonts w:ascii="Cambria Math" w:eastAsia="Cambria Math" w:hAnsi="Cambria Math" w:cs="Cambria Math"/>
        </w:rPr>
        <w:t>10</w:t>
      </w:r>
      <w:r>
        <w:rPr>
          <w:rFonts w:ascii="Cambria Math" w:eastAsia="Cambria Math" w:hAnsi="Cambria Math" w:cs="Cambria Math"/>
          <w:vertAlign w:val="superscript"/>
        </w:rPr>
        <w:t>−22</w:t>
      </w:r>
      <w:r>
        <w:t xml:space="preserve"> s/s </w:t>
      </w:r>
      <w:r>
        <w:tab/>
        <w:t xml:space="preserve">Surface roughness </w:t>
      </w:r>
    </w:p>
    <w:p w14:paraId="4CD5F2F0" w14:textId="77777777" w:rsidR="00C879EE" w:rsidRDefault="00000000">
      <w:pPr>
        <w:tabs>
          <w:tab w:val="center" w:pos="2631"/>
          <w:tab w:val="center" w:pos="4363"/>
          <w:tab w:val="center" w:pos="7226"/>
        </w:tabs>
        <w:spacing w:after="110"/>
        <w:ind w:left="0" w:firstLine="0"/>
      </w:pPr>
      <w:r>
        <w:t xml:space="preserve">10 µm </w:t>
      </w:r>
      <w:r>
        <w:tab/>
      </w:r>
      <w:r>
        <w:rPr>
          <w:rFonts w:ascii="Cambria Math" w:eastAsia="Cambria Math" w:hAnsi="Cambria Math" w:cs="Cambria Math"/>
        </w:rPr>
        <w:t>1.1 × 10</w:t>
      </w:r>
      <w:r>
        <w:rPr>
          <w:rFonts w:ascii="Cambria Math" w:eastAsia="Cambria Math" w:hAnsi="Cambria Math" w:cs="Cambria Math"/>
          <w:vertAlign w:val="superscript"/>
        </w:rPr>
        <w:t>−21</w:t>
      </w:r>
      <w:r>
        <w:t xml:space="preserve"> </w:t>
      </w:r>
      <w:r>
        <w:tab/>
      </w:r>
      <w:r>
        <w:rPr>
          <w:rFonts w:ascii="Cambria Math" w:eastAsia="Cambria Math" w:hAnsi="Cambria Math" w:cs="Cambria Math"/>
        </w:rPr>
        <w:t>10</w:t>
      </w:r>
      <w:r>
        <w:rPr>
          <w:rFonts w:ascii="Cambria Math" w:eastAsia="Cambria Math" w:hAnsi="Cambria Math" w:cs="Cambria Math"/>
          <w:vertAlign w:val="superscript"/>
        </w:rPr>
        <w:t>−21</w:t>
      </w:r>
      <w:r>
        <w:t xml:space="preserve"> s/s </w:t>
      </w:r>
      <w:r>
        <w:tab/>
        <w:t xml:space="preserve">Wire bonding </w:t>
      </w:r>
    </w:p>
    <w:p w14:paraId="46D5C6F1" w14:textId="77777777" w:rsidR="00C879EE" w:rsidRDefault="00000000">
      <w:pPr>
        <w:tabs>
          <w:tab w:val="center" w:pos="2631"/>
          <w:tab w:val="center" w:pos="4363"/>
          <w:tab w:val="center" w:pos="7303"/>
        </w:tabs>
        <w:spacing w:after="109"/>
        <w:ind w:left="0" w:firstLine="0"/>
      </w:pPr>
      <w:r>
        <w:t xml:space="preserve">100 µm </w:t>
      </w:r>
      <w:r>
        <w:tab/>
      </w:r>
      <w:r>
        <w:rPr>
          <w:rFonts w:ascii="Cambria Math" w:eastAsia="Cambria Math" w:hAnsi="Cambria Math" w:cs="Cambria Math"/>
        </w:rPr>
        <w:t>1.1 × 10</w:t>
      </w:r>
      <w:r>
        <w:rPr>
          <w:rFonts w:ascii="Cambria Math" w:eastAsia="Cambria Math" w:hAnsi="Cambria Math" w:cs="Cambria Math"/>
          <w:vertAlign w:val="superscript"/>
        </w:rPr>
        <w:t>−20</w:t>
      </w:r>
      <w:r>
        <w:t xml:space="preserve"> </w:t>
      </w:r>
      <w:r>
        <w:tab/>
      </w:r>
      <w:r>
        <w:rPr>
          <w:rFonts w:ascii="Cambria Math" w:eastAsia="Cambria Math" w:hAnsi="Cambria Math" w:cs="Cambria Math"/>
        </w:rPr>
        <w:t>10</w:t>
      </w:r>
      <w:r>
        <w:rPr>
          <w:rFonts w:ascii="Cambria Math" w:eastAsia="Cambria Math" w:hAnsi="Cambria Math" w:cs="Cambria Math"/>
          <w:vertAlign w:val="superscript"/>
        </w:rPr>
        <w:t>−20</w:t>
      </w:r>
      <w:r>
        <w:t xml:space="preserve"> s/s </w:t>
      </w:r>
      <w:r>
        <w:tab/>
        <w:t xml:space="preserve">Chip packaging </w:t>
      </w:r>
    </w:p>
    <w:p w14:paraId="123DD8A8" w14:textId="77777777" w:rsidR="00C879EE" w:rsidRDefault="00000000">
      <w:pPr>
        <w:tabs>
          <w:tab w:val="center" w:pos="2631"/>
          <w:tab w:val="center" w:pos="4360"/>
          <w:tab w:val="center" w:pos="7269"/>
        </w:tabs>
        <w:spacing w:after="110"/>
        <w:ind w:left="0" w:firstLine="0"/>
      </w:pPr>
      <w:r>
        <w:t xml:space="preserve">1 mm </w:t>
      </w:r>
      <w:r>
        <w:tab/>
      </w:r>
      <w:r>
        <w:rPr>
          <w:rFonts w:ascii="Cambria Math" w:eastAsia="Cambria Math" w:hAnsi="Cambria Math" w:cs="Cambria Math"/>
        </w:rPr>
        <w:t>1.1 × 10</w:t>
      </w:r>
      <w:r>
        <w:rPr>
          <w:rFonts w:ascii="Cambria Math" w:eastAsia="Cambria Math" w:hAnsi="Cambria Math" w:cs="Cambria Math"/>
          <w:vertAlign w:val="superscript"/>
        </w:rPr>
        <w:t>−19</w:t>
      </w:r>
      <w:r>
        <w:t xml:space="preserve"> </w:t>
      </w:r>
      <w:r>
        <w:tab/>
      </w:r>
      <w:r>
        <w:rPr>
          <w:rFonts w:ascii="Cambria Math" w:eastAsia="Cambria Math" w:hAnsi="Cambria Math" w:cs="Cambria Math"/>
        </w:rPr>
        <w:t>10</w:t>
      </w:r>
      <w:r>
        <w:rPr>
          <w:rFonts w:ascii="Cambria Math" w:eastAsia="Cambria Math" w:hAnsi="Cambria Math" w:cs="Cambria Math"/>
          <w:vertAlign w:val="superscript"/>
        </w:rPr>
        <w:t>−19</w:t>
      </w:r>
      <w:r>
        <w:t xml:space="preserve"> s/s </w:t>
      </w:r>
      <w:r>
        <w:tab/>
        <w:t xml:space="preserve">Chip thickness </w:t>
      </w:r>
    </w:p>
    <w:p w14:paraId="69AD54FC" w14:textId="77777777" w:rsidR="00C879EE" w:rsidRDefault="00000000">
      <w:pPr>
        <w:tabs>
          <w:tab w:val="center" w:pos="2631"/>
          <w:tab w:val="center" w:pos="4363"/>
          <w:tab w:val="center" w:pos="7260"/>
        </w:tabs>
        <w:spacing w:after="110"/>
        <w:ind w:left="0" w:firstLine="0"/>
      </w:pPr>
      <w:r>
        <w:t xml:space="preserve">1 cm </w:t>
      </w:r>
      <w:r>
        <w:tab/>
      </w:r>
      <w:r>
        <w:rPr>
          <w:rFonts w:ascii="Cambria Math" w:eastAsia="Cambria Math" w:hAnsi="Cambria Math" w:cs="Cambria Math"/>
        </w:rPr>
        <w:t>1.1 × 10</w:t>
      </w:r>
      <w:r>
        <w:rPr>
          <w:rFonts w:ascii="Cambria Math" w:eastAsia="Cambria Math" w:hAnsi="Cambria Math" w:cs="Cambria Math"/>
          <w:vertAlign w:val="superscript"/>
        </w:rPr>
        <w:t>−17</w:t>
      </w:r>
      <w:r>
        <w:t xml:space="preserve"> </w:t>
      </w:r>
      <w:r>
        <w:tab/>
      </w:r>
      <w:r>
        <w:rPr>
          <w:rFonts w:ascii="Cambria Math" w:eastAsia="Cambria Math" w:hAnsi="Cambria Math" w:cs="Cambria Math"/>
        </w:rPr>
        <w:t>10</w:t>
      </w:r>
      <w:r>
        <w:rPr>
          <w:rFonts w:ascii="Cambria Math" w:eastAsia="Cambria Math" w:hAnsi="Cambria Math" w:cs="Cambria Math"/>
          <w:vertAlign w:val="superscript"/>
        </w:rPr>
        <w:t>−17</w:t>
      </w:r>
      <w:r>
        <w:t xml:space="preserve"> s/s </w:t>
      </w:r>
      <w:r>
        <w:tab/>
        <w:t xml:space="preserve">Module height </w:t>
      </w:r>
    </w:p>
    <w:p w14:paraId="39A22AFA" w14:textId="77777777" w:rsidR="00C879EE" w:rsidRDefault="00000000">
      <w:pPr>
        <w:tabs>
          <w:tab w:val="center" w:pos="2631"/>
          <w:tab w:val="center" w:pos="4363"/>
          <w:tab w:val="center" w:pos="7251"/>
        </w:tabs>
        <w:spacing w:after="113"/>
        <w:ind w:left="0" w:firstLine="0"/>
      </w:pPr>
      <w:r>
        <w:t xml:space="preserve">10 cm </w:t>
      </w:r>
      <w:r>
        <w:tab/>
      </w:r>
      <w:r>
        <w:rPr>
          <w:rFonts w:ascii="Cambria Math" w:eastAsia="Cambria Math" w:hAnsi="Cambria Math" w:cs="Cambria Math"/>
        </w:rPr>
        <w:t>1.1 × 10</w:t>
      </w:r>
      <w:r>
        <w:rPr>
          <w:rFonts w:ascii="Cambria Math" w:eastAsia="Cambria Math" w:hAnsi="Cambria Math" w:cs="Cambria Math"/>
          <w:vertAlign w:val="superscript"/>
        </w:rPr>
        <w:t>−16</w:t>
      </w:r>
      <w:r>
        <w:t xml:space="preserve"> </w:t>
      </w:r>
      <w:r>
        <w:tab/>
      </w:r>
      <w:r>
        <w:rPr>
          <w:rFonts w:ascii="Cambria Math" w:eastAsia="Cambria Math" w:hAnsi="Cambria Math" w:cs="Cambria Math"/>
        </w:rPr>
        <w:t>10</w:t>
      </w:r>
      <w:r>
        <w:rPr>
          <w:rFonts w:ascii="Cambria Math" w:eastAsia="Cambria Math" w:hAnsi="Cambria Math" w:cs="Cambria Math"/>
          <w:vertAlign w:val="superscript"/>
        </w:rPr>
        <w:t>−16</w:t>
      </w:r>
      <w:r>
        <w:t xml:space="preserve"> s/s </w:t>
      </w:r>
      <w:r>
        <w:tab/>
        <w:t xml:space="preserve">Cryostat stage </w:t>
      </w:r>
    </w:p>
    <w:p w14:paraId="1D579416" w14:textId="77777777" w:rsidR="00C879EE" w:rsidRDefault="00000000">
      <w:pPr>
        <w:tabs>
          <w:tab w:val="center" w:pos="2631"/>
          <w:tab w:val="center" w:pos="4363"/>
          <w:tab w:val="center" w:pos="7449"/>
        </w:tabs>
        <w:ind w:left="0" w:firstLine="0"/>
      </w:pPr>
      <w:r>
        <w:t xml:space="preserve">1 m </w:t>
      </w:r>
      <w:r>
        <w:tab/>
      </w:r>
      <w:r>
        <w:rPr>
          <w:rFonts w:ascii="Cambria Math" w:eastAsia="Cambria Math" w:hAnsi="Cambria Math" w:cs="Cambria Math"/>
        </w:rPr>
        <w:t>1.1 × 10</w:t>
      </w:r>
      <w:r>
        <w:rPr>
          <w:rFonts w:ascii="Cambria Math" w:eastAsia="Cambria Math" w:hAnsi="Cambria Math" w:cs="Cambria Math"/>
          <w:vertAlign w:val="superscript"/>
        </w:rPr>
        <w:t>−15</w:t>
      </w:r>
      <w:r>
        <w:t xml:space="preserve"> </w:t>
      </w:r>
      <w:r>
        <w:tab/>
      </w:r>
      <w:r>
        <w:rPr>
          <w:rFonts w:ascii="Cambria Math" w:eastAsia="Cambria Math" w:hAnsi="Cambria Math" w:cs="Cambria Math"/>
        </w:rPr>
        <w:t>10</w:t>
      </w:r>
      <w:r>
        <w:rPr>
          <w:rFonts w:ascii="Cambria Math" w:eastAsia="Cambria Math" w:hAnsi="Cambria Math" w:cs="Cambria Math"/>
          <w:vertAlign w:val="superscript"/>
        </w:rPr>
        <w:t>−15</w:t>
      </w:r>
      <w:r>
        <w:t xml:space="preserve"> s/s </w:t>
      </w:r>
      <w:r>
        <w:tab/>
        <w:t xml:space="preserve">Laboratory height </w:t>
      </w:r>
    </w:p>
    <w:p w14:paraId="43D8CC9C" w14:textId="77777777" w:rsidR="00C879EE" w:rsidRDefault="00000000">
      <w:pPr>
        <w:spacing w:after="121" w:line="259" w:lineRule="auto"/>
        <w:ind w:left="0" w:right="327" w:firstLine="0"/>
        <w:jc w:val="center"/>
      </w:pPr>
      <w:r>
        <w:rPr>
          <w:noProof/>
        </w:rPr>
        <w:lastRenderedPageBreak/>
        <w:drawing>
          <wp:inline distT="0" distB="0" distL="0" distR="0" wp14:anchorId="7948BB62" wp14:editId="76498660">
            <wp:extent cx="5485385" cy="3303270"/>
            <wp:effectExtent l="0" t="0" r="0" b="0"/>
            <wp:docPr id="1215" name="Picture 1215"/>
            <wp:cNvGraphicFramePr/>
            <a:graphic xmlns:a="http://schemas.openxmlformats.org/drawingml/2006/main">
              <a:graphicData uri="http://schemas.openxmlformats.org/drawingml/2006/picture">
                <pic:pic xmlns:pic="http://schemas.openxmlformats.org/drawingml/2006/picture">
                  <pic:nvPicPr>
                    <pic:cNvPr id="1215" name="Picture 1215"/>
                    <pic:cNvPicPr/>
                  </pic:nvPicPr>
                  <pic:blipFill>
                    <a:blip r:embed="rId8"/>
                    <a:stretch>
                      <a:fillRect/>
                    </a:stretch>
                  </pic:blipFill>
                  <pic:spPr>
                    <a:xfrm>
                      <a:off x="0" y="0"/>
                      <a:ext cx="5485385" cy="3303270"/>
                    </a:xfrm>
                    <a:prstGeom prst="rect">
                      <a:avLst/>
                    </a:prstGeom>
                  </pic:spPr>
                </pic:pic>
              </a:graphicData>
            </a:graphic>
          </wp:inline>
        </w:drawing>
      </w:r>
      <w:r>
        <w:t xml:space="preserve"> </w:t>
      </w:r>
    </w:p>
    <w:p w14:paraId="6F2E547C" w14:textId="77777777" w:rsidR="00C879EE" w:rsidRDefault="00000000">
      <w:pPr>
        <w:ind w:left="-5"/>
      </w:pPr>
      <w:r>
        <w:t xml:space="preserve">Critical scales for SSZ corrections. Colours indicate regimes where SSZ corrections are negligible (grey), measurable (light blue), significant (light green) or dominant (yellow). The horizontal axis is height difference on a logarithmic scale; the vertical axis shows the corresponding drift rate. </w:t>
      </w:r>
    </w:p>
    <w:p w14:paraId="5F6C14C0" w14:textId="77777777" w:rsidR="00C879EE" w:rsidRDefault="00000000">
      <w:pPr>
        <w:spacing w:after="155" w:line="259" w:lineRule="auto"/>
        <w:ind w:left="0" w:firstLine="0"/>
      </w:pPr>
      <w:r>
        <w:t xml:space="preserve"> </w:t>
      </w:r>
    </w:p>
    <w:p w14:paraId="506505C1" w14:textId="77777777" w:rsidR="00C879EE" w:rsidRDefault="00000000">
      <w:pPr>
        <w:spacing w:after="127"/>
        <w:ind w:left="-5"/>
        <w:jc w:val="center"/>
      </w:pPr>
      <w:r>
        <w:t xml:space="preserve">Figure 6 complements the table by plotting the segment density difference </w:t>
      </w:r>
      <w:r>
        <w:rPr>
          <w:rFonts w:ascii="Cambria Math" w:eastAsia="Cambria Math" w:hAnsi="Cambria Math" w:cs="Cambria Math"/>
        </w:rPr>
        <w:t>𝛥𝛯</w:t>
      </w:r>
      <w:r>
        <w:t xml:space="preserve"> and the resulting time drift per second versus height difference on a log scale. Both quantities scale linearly with </w:t>
      </w:r>
      <w:r>
        <w:rPr>
          <w:rFonts w:ascii="Cambria Math" w:eastAsia="Cambria Math" w:hAnsi="Cambria Math" w:cs="Cambria Math"/>
        </w:rPr>
        <w:t>ℎ</w:t>
      </w:r>
      <w:r>
        <w:t xml:space="preserve"> and remain extremely small for micrometre and sub‑millimetre separations. </w:t>
      </w:r>
    </w:p>
    <w:p w14:paraId="4E9AAE8E" w14:textId="77777777" w:rsidR="00C879EE" w:rsidRDefault="00000000">
      <w:pPr>
        <w:spacing w:after="121" w:line="259" w:lineRule="auto"/>
        <w:ind w:left="0" w:right="687" w:firstLine="0"/>
        <w:jc w:val="center"/>
      </w:pPr>
      <w:r>
        <w:rPr>
          <w:noProof/>
        </w:rPr>
        <w:drawing>
          <wp:inline distT="0" distB="0" distL="0" distR="0" wp14:anchorId="7DB500BD" wp14:editId="23EA5A35">
            <wp:extent cx="5028057" cy="2122170"/>
            <wp:effectExtent l="0" t="0" r="0" b="0"/>
            <wp:docPr id="1217" name="Picture 1217"/>
            <wp:cNvGraphicFramePr/>
            <a:graphic xmlns:a="http://schemas.openxmlformats.org/drawingml/2006/main">
              <a:graphicData uri="http://schemas.openxmlformats.org/drawingml/2006/picture">
                <pic:pic xmlns:pic="http://schemas.openxmlformats.org/drawingml/2006/picture">
                  <pic:nvPicPr>
                    <pic:cNvPr id="1217" name="Picture 1217"/>
                    <pic:cNvPicPr/>
                  </pic:nvPicPr>
                  <pic:blipFill>
                    <a:blip r:embed="rId9"/>
                    <a:stretch>
                      <a:fillRect/>
                    </a:stretch>
                  </pic:blipFill>
                  <pic:spPr>
                    <a:xfrm>
                      <a:off x="0" y="0"/>
                      <a:ext cx="5028057" cy="2122170"/>
                    </a:xfrm>
                    <a:prstGeom prst="rect">
                      <a:avLst/>
                    </a:prstGeom>
                  </pic:spPr>
                </pic:pic>
              </a:graphicData>
            </a:graphic>
          </wp:inline>
        </w:drawing>
      </w:r>
      <w:r>
        <w:t xml:space="preserve"> </w:t>
      </w:r>
    </w:p>
    <w:p w14:paraId="1F275794" w14:textId="77777777" w:rsidR="00C879EE" w:rsidRDefault="00000000">
      <w:pPr>
        <w:ind w:left="-5"/>
      </w:pPr>
      <w:r>
        <w:t xml:space="preserve">Segment density difference (orange bars) and time drift per second (blue bars) vs. height difference. The two quantities scale linearly with (h), with slopes 1.1 × 10⁻¹⁹ per millimetre. </w:t>
      </w:r>
    </w:p>
    <w:p w14:paraId="43578203" w14:textId="77777777" w:rsidR="00C879EE" w:rsidRDefault="00000000">
      <w:pPr>
        <w:spacing w:after="0" w:line="259" w:lineRule="auto"/>
        <w:ind w:left="0" w:firstLine="0"/>
      </w:pPr>
      <w:r>
        <w:t xml:space="preserve"> </w:t>
      </w:r>
    </w:p>
    <w:p w14:paraId="0F237E3E" w14:textId="77777777" w:rsidR="00C879EE" w:rsidRDefault="00000000">
      <w:pPr>
        <w:pStyle w:val="berschrift1"/>
        <w:spacing w:after="147"/>
        <w:ind w:left="381" w:hanging="396"/>
        <w:pageBreakBefore/>
      </w:pPr>
      <w:r>
        <w:lastRenderedPageBreak/>
        <w:t xml:space="preserve">Phase Drift and Gate Timing Corrections </w:t>
      </w:r>
    </w:p>
    <w:p w14:paraId="5FAEB922" w14:textId="77777777" w:rsidR="00C879EE" w:rsidRDefault="00000000">
      <w:pPr>
        <w:pStyle w:val="berschrift2"/>
        <w:ind w:left="513" w:hanging="528"/>
      </w:pPr>
      <w:r>
        <w:t xml:space="preserve">Phase drift per gate </w:t>
      </w:r>
    </w:p>
    <w:p w14:paraId="4D01386C" w14:textId="77777777" w:rsidR="00C879EE" w:rsidRDefault="00000000">
      <w:pPr>
        <w:ind w:left="-5"/>
      </w:pPr>
      <w:r>
        <w:t xml:space="preserve">In a quantum circuit each gate corresponds to a unitary rotation generated by the qubit’s angular frequency ω. The phase accumulated during a gate of duration (t_nominal) is (Φ = ω × t_gate). When two qubits at heights (h_1) and (h_2) experience different proper times, the relative phase shift per gate is </w:t>
      </w:r>
    </w:p>
    <w:p w14:paraId="42DE76BA" w14:textId="77777777" w:rsidR="00C879EE" w:rsidRDefault="00000000">
      <w:pPr>
        <w:ind w:left="-5"/>
      </w:pPr>
      <m:oMathPara>
        <m:oMath>
          <m:r>
            <m:rPr>
              <m:sty m:val="i"/>
            </m:rPr>
            <w:rPr>
              <w:rFonts w:ascii="Cambria Math" w:hAnsi="Cambria Math"/>
            </w:rPr>
            <m:t xml:space="preserve">[= (</m:t>
          </m:r>
          <m:sSub>
            <m:e>
              <m:r>
                <m:rPr>
                  <m:sty m:val="i"/>
                </m:rPr>
                <w:rPr>
                  <w:rFonts w:ascii="Cambria Math" w:hAnsi="Cambria Math"/>
                </w:rPr>
                <m:t xml:space="preserve">D</m:t>
              </m:r>
            </m:e>
            <m:sub>
              <m:r>
                <m:rPr>
                  <m:sty m:val="i"/>
                </m:rPr>
                <w:rPr>
                  <w:rFonts w:ascii="Cambria Math" w:hAnsi="Cambria Math"/>
                </w:rPr>
                <m:t xml:space="preserve">SSZ</m:t>
              </m:r>
            </m:sub>
          </m:sSub>
          <m:r>
            <m:rPr>
              <m:sty m:val="i"/>
            </m:rPr>
            <w:rPr>
              <w:rFonts w:ascii="Cambria Math" w:hAnsi="Cambria Math"/>
            </w:rPr>
            <m:t xml:space="preserve">(</m:t>
          </m:r>
          <m:sSub>
            <m:e>
              <m:r>
                <m:rPr>
                  <m:sty m:val="i"/>
                </m:rPr>
                <w:rPr>
                  <w:rFonts w:ascii="Cambria Math" w:hAnsi="Cambria Math"/>
                </w:rPr>
                <m:t xml:space="preserve">h</m:t>
              </m:r>
            </m:e>
            <m:sub>
              <m:r>
                <m:rPr>
                  <m:sty m:val="i"/>
                </m:rPr>
                <w:rPr>
                  <w:rFonts w:ascii="Cambria Math" w:hAnsi="Cambria Math"/>
                </w:rPr>
                <m:t xml:space="preserve">1</m:t>
              </m:r>
            </m:sub>
          </m:sSub>
          <m:r>
            <m:rPr>
              <m:sty m:val="i"/>
            </m:rPr>
            <w:rPr>
              <w:rFonts w:ascii="Cambria Math" w:hAnsi="Cambria Math"/>
            </w:rPr>
            <m:t xml:space="preserve">) - </m:t>
          </m:r>
          <m:sSub>
            <m:e>
              <m:r>
                <m:rPr>
                  <m:sty m:val="i"/>
                </m:rPr>
                <w:rPr>
                  <w:rFonts w:ascii="Cambria Math" w:hAnsi="Cambria Math"/>
                </w:rPr>
                <m:t xml:space="preserve">D</m:t>
              </m:r>
            </m:e>
            <m:sub>
              <m:r>
                <m:rPr>
                  <m:sty m:val="i"/>
                </m:rPr>
                <w:rPr>
                  <w:rFonts w:ascii="Cambria Math" w:hAnsi="Cambria Math"/>
                </w:rPr>
                <m:t xml:space="preserve">SSZ</m:t>
              </m:r>
            </m:sub>
          </m:sSub>
          <m:r>
            <m:rPr>
              <m:sty m:val="i"/>
            </m:rPr>
            <w:rPr>
              <w:rFonts w:ascii="Cambria Math" w:hAnsi="Cambria Math"/>
            </w:rPr>
            <m:t xml:space="preserve">(</m:t>
          </m:r>
          <m:sSub>
            <m:e>
              <m:r>
                <m:rPr>
                  <m:sty m:val="i"/>
                </m:rPr>
                <w:rPr>
                  <w:rFonts w:ascii="Cambria Math" w:hAnsi="Cambria Math"/>
                </w:rPr>
                <m:t xml:space="preserve">h</m:t>
              </m:r>
            </m:e>
            <m:sub>
              <m:r>
                <m:rPr>
                  <m:sty m:val="i"/>
                </m:rPr>
                <w:rPr>
                  <w:rFonts w:ascii="Cambria Math" w:hAnsi="Cambria Math"/>
                </w:rPr>
                <m:t xml:space="preserve">2</m:t>
              </m:r>
            </m:sub>
          </m:sSub>
          <m:r>
            <m:rPr>
              <m:sty m:val="i"/>
            </m:rPr>
            <w:rPr>
              <w:rFonts w:ascii="Cambria Math" w:hAnsi="Cambria Math"/>
            </w:rPr>
            <m:t xml:space="preserve">)),</m:t>
          </m:r>
          <m:sSub>
            <m:e>
              <m:r>
                <m:rPr>
                  <m:sty m:val="i"/>
                </m:rPr>
                <w:rPr>
                  <w:rFonts w:ascii="Cambria Math" w:hAnsi="Cambria Math"/>
                </w:rPr>
                <m:t xml:space="preserve">t</m:t>
              </m:r>
            </m:e>
            <m:sub>
              <m:r>
                <m:rPr>
                  <m:sty m:val="i"/>
                </m:rPr>
                <w:rPr>
                  <w:rFonts w:ascii="Cambria Math" w:hAnsi="Cambria Math"/>
                </w:rPr>
                <m:t xml:space="preserve">nominal</m:t>
              </m:r>
            </m:sub>
          </m:sSub>
          <m:r>
            <m:rPr>
              <m:sty m:val="i"/>
            </m:rPr>
            <w:rPr>
              <w:rFonts w:ascii="Cambria Math" w:hAnsi="Cambria Math"/>
            </w:rPr>
            <m:t xml:space="preserve">.]</m:t>
          </m:r>
        </m:oMath>
      </m:oMathPara>
    </w:p>
    <w:p w14:paraId="6B7DA232" w14:textId="77777777" w:rsidR="00C879EE" w:rsidRDefault="00000000">
      <w:pPr>
        <w:spacing w:after="191"/>
        <w:ind w:left="-5"/>
      </w:pPr>
      <w:r>
        <w:t xml:space="preserve">Here the difference in time‑dilation factors is approximately 1.1 × 10⁻¹⁹ per millimetre. For a 5 GHz qubit (ω ≈ 3.14 × 10¹⁰ rad/s) and a 50 ns gate, the per‑gate phase shift at (h=1) mm is roughly 1.7 × 10⁻¹⁶ radians. Although this is negligible for a single operation, it </w:t>
      </w:r>
      <w:r>
        <w:rPr>
          <w:b/>
        </w:rPr>
        <w:t>accumulates</w:t>
      </w:r>
      <w:r>
        <w:t xml:space="preserve"> linearly with the number of gates: a circuit of (10⁶) gates accrues about (10⁻¹⁰) rad, while a circuit of (10¹²) gates accrues 1.7 × 10⁻⁴ rad. </w:t>
      </w:r>
    </w:p>
    <w:p w14:paraId="4DC45631" w14:textId="77777777" w:rsidR="00C879EE" w:rsidRDefault="00000000">
      <w:pPr>
        <w:pStyle w:val="berschrift2"/>
        <w:ind w:left="511" w:hanging="526"/>
      </w:pPr>
      <w:r>
        <w:t xml:space="preserve">Gate timing correction formula </w:t>
      </w:r>
    </w:p>
    <w:p w14:paraId="002B83BA" w14:textId="77777777" w:rsidR="00C879EE" w:rsidRDefault="00000000">
      <w:pPr>
        <w:ind w:left="-5"/>
      </w:pPr>
      <w:r>
        <w:t xml:space="preserve">Gate calibration routines define a nominal duration t_nominal at a reference height (h_0). To account for time dilation at an actual qubit height (h), one rescales the duration according to </w:t>
      </w:r>
    </w:p>
    <w:p w14:paraId="20691598" w14:textId="77777777" w:rsidR="00C879EE" w:rsidRDefault="00000000">
      <w:pPr>
        <w:ind w:left="-5"/>
      </w:pPr>
      <m:oMathPara>
        <m:oMath>
          <m:sSub>
            <m:e>
              <m:r>
                <m:rPr>
                  <m:sty m:val="i"/>
                </m:rPr>
                <w:rPr>
                  <w:rFonts w:ascii="Cambria Math" w:hAnsi="Cambria Math"/>
                </w:rPr>
                <m:t xml:space="preserve">t</m:t>
              </m:r>
            </m:e>
            <m:sub>
              <m:r>
                <m:rPr>
                  <m:sty m:val="i"/>
                </m:rPr>
                <w:rPr>
                  <w:rFonts w:ascii="Cambria Math" w:hAnsi="Cambria Math"/>
                </w:rPr>
                <m:t xml:space="preserve">corrected</m:t>
              </m:r>
            </m:sub>
          </m:sSub>
          <m:r>
            <m:rPr>
              <m:sty m:val="i"/>
            </m:rPr>
            <w:rPr>
              <w:rFonts w:ascii="Cambria Math" w:hAnsi="Cambria Math"/>
            </w:rPr>
            <m:t xml:space="preserve"> = </m:t>
          </m:r>
          <m:sSub>
            <m:e>
              <m:r>
                <m:rPr>
                  <m:sty m:val="i"/>
                </m:rPr>
                <w:rPr>
                  <w:rFonts w:ascii="Cambria Math" w:hAnsi="Cambria Math"/>
                </w:rPr>
                <m:t xml:space="preserve">t</m:t>
              </m:r>
            </m:e>
            <m:sub>
              <m:r>
                <m:rPr>
                  <m:sty m:val="i"/>
                </m:rPr>
                <w:rPr>
                  <w:rFonts w:ascii="Cambria Math" w:hAnsi="Cambria Math"/>
                </w:rPr>
                <m:t xml:space="preserve">nominal</m:t>
              </m:r>
            </m:sub>
          </m:sSub>
          <m:r>
            <m:rPr>
              <m:sty m:val="i"/>
            </m:rPr>
            <w:rPr>
              <w:rFonts w:ascii="Cambria Math" w:hAnsi="Cambria Math"/>
            </w:rPr>
            <m:t xml:space="preserve"> × </m:t>
          </m:r>
          <m:sSub>
            <m:e>
              <m:r>
                <m:rPr>
                  <m:sty m:val="i"/>
                </m:rPr>
                <w:rPr>
                  <w:rFonts w:ascii="Cambria Math" w:hAnsi="Cambria Math"/>
                </w:rPr>
                <m:t xml:space="preserve">D</m:t>
              </m:r>
            </m:e>
            <m:sub>
              <m:r>
                <m:rPr>
                  <m:sty m:val="i"/>
                </m:rPr>
                <w:rPr>
                  <w:rFonts w:ascii="Cambria Math" w:hAnsi="Cambria Math"/>
                </w:rPr>
                <m:t xml:space="preserve">SSZ</m:t>
              </m:r>
            </m:sub>
          </m:sSub>
          <m:r>
            <m:rPr>
              <m:sty m:val="i"/>
            </m:rPr>
            <w:rPr>
              <w:rFonts w:ascii="Cambria Math" w:hAnsi="Cambria Math"/>
            </w:rPr>
            <m:t xml:space="preserve">(</m:t>
          </m:r>
          <m:sSub>
            <m:e>
              <m:r>
                <m:rPr>
                  <m:sty m:val="i"/>
                </m:rPr>
                <w:rPr>
                  <w:rFonts w:ascii="Cambria Math" w:hAnsi="Cambria Math"/>
                </w:rPr>
                <m:t xml:space="preserve">h</m:t>
              </m:r>
            </m:e>
            <m:sub>
              <m:r>
                <m:rPr>
                  <m:sty m:val="i"/>
                </m:rPr>
                <w:rPr>
                  <w:rFonts w:ascii="Cambria Math" w:hAnsi="Cambria Math"/>
                </w:rPr>
                <m:t xml:space="preserve">ref</m:t>
              </m:r>
            </m:sub>
          </m:sSub>
          <m:r>
            <m:rPr>
              <m:sty m:val="i"/>
            </m:rPr>
            <w:rPr>
              <w:rFonts w:ascii="Cambria Math" w:hAnsi="Cambria Math"/>
            </w:rPr>
            <m:t xml:space="preserve">) / </m:t>
          </m:r>
          <m:sSub>
            <m:e>
              <m:r>
                <m:rPr>
                  <m:sty m:val="i"/>
                </m:rPr>
                <w:rPr>
                  <w:rFonts w:ascii="Cambria Math" w:hAnsi="Cambria Math"/>
                </w:rPr>
                <m:t xml:space="preserve">D</m:t>
              </m:r>
            </m:e>
            <m:sub>
              <m:r>
                <m:rPr>
                  <m:sty m:val="i"/>
                </m:rPr>
                <w:rPr>
                  <w:rFonts w:ascii="Cambria Math" w:hAnsi="Cambria Math"/>
                </w:rPr>
                <m:t xml:space="preserve">SSZ</m:t>
              </m:r>
            </m:sub>
          </m:sSub>
          <m:r>
            <m:rPr>
              <m:sty m:val="i"/>
            </m:rPr>
            <w:rPr>
              <w:rFonts w:ascii="Cambria Math" w:hAnsi="Cambria Math"/>
            </w:rPr>
            <m:t xml:space="preserve">(</m:t>
          </m:r>
          <m:sSub>
            <m:e>
              <m:r>
                <m:rPr>
                  <m:sty m:val="i"/>
                </m:rPr>
                <w:rPr>
                  <w:rFonts w:ascii="Cambria Math" w:hAnsi="Cambria Math"/>
                </w:rPr>
                <m:t xml:space="preserve">h</m:t>
              </m:r>
            </m:e>
            <m:sub>
              <m:r>
                <m:rPr>
                  <m:sty m:val="i"/>
                </m:rPr>
                <w:rPr>
                  <w:rFonts w:ascii="Cambria Math" w:hAnsi="Cambria Math"/>
                </w:rPr>
                <m:t xml:space="preserve">qubit</m:t>
              </m:r>
            </m:sub>
          </m:sSub>
          <m:r>
            <m:rPr>
              <m:sty m:val="i"/>
            </m:rPr>
            <w:rPr>
              <w:rFonts w:ascii="Cambria Math" w:hAnsi="Cambria Math"/>
            </w:rPr>
            <m:t xml:space="preserve">)</m:t>
          </m:r>
        </m:oMath>
      </m:oMathPara>
    </w:p>
    <w:p w14:paraId="7A6E2356" w14:textId="77777777" w:rsidR="00C879EE" w:rsidRDefault="00000000">
      <w:pPr>
        <w:ind w:left="-5"/>
      </w:pPr>
      <w:r>
        <w:t xml:space="preserve">When (|h - h_0|) is small, this becomes </w:t>
      </w:r>
    </w:p>
    <w:p w14:paraId="6E4E8E87" w14:textId="77777777" w:rsidR="00C879EE" w:rsidRDefault="00000000">
      <w:pPr>
        <w:ind w:left="-5"/>
      </w:pPr>
      <m:oMathPara>
        <m:oMath>
          <m:sSub>
            <m:e>
              <m:r>
                <m:rPr>
                  <m:sty m:val="i"/>
                </m:rPr>
                <w:rPr>
                  <w:rFonts w:ascii="Cambria Math" w:hAnsi="Cambria Math"/>
                </w:rPr>
                <m:t xml:space="preserve">t</m:t>
              </m:r>
            </m:e>
            <m:sub>
              <m:r>
                <m:rPr>
                  <m:sty m:val="i"/>
                </m:rPr>
                <w:rPr>
                  <w:rFonts w:ascii="Cambria Math" w:hAnsi="Cambria Math"/>
                </w:rPr>
                <m:t xml:space="preserve">corrected</m:t>
              </m:r>
            </m:sub>
          </m:sSub>
          <m:r>
            <m:rPr>
              <m:sty m:val="i"/>
            </m:rPr>
            <w:rPr>
              <w:rFonts w:ascii="Cambria Math" w:hAnsi="Cambria Math"/>
            </w:rPr>
            <m:t xml:space="preserve"> ≈ </m:t>
          </m:r>
          <m:sSub>
            <m:e>
              <m:r>
                <m:rPr>
                  <m:sty m:val="i"/>
                </m:rPr>
                <w:rPr>
                  <w:rFonts w:ascii="Cambria Math" w:hAnsi="Cambria Math"/>
                </w:rPr>
                <m:t xml:space="preserve">t</m:t>
              </m:r>
            </m:e>
            <m:sub>
              <m:r>
                <m:rPr>
                  <m:sty m:val="i"/>
                </m:rPr>
                <w:rPr>
                  <w:rFonts w:ascii="Cambria Math" w:hAnsi="Cambria Math"/>
                </w:rPr>
                <m:t xml:space="preserve">nominal</m:t>
              </m:r>
            </m:sub>
          </m:sSub>
          <m:r>
            <m:rPr>
              <m:sty m:val="i"/>
            </m:rPr>
            <w:rPr>
              <w:rFonts w:ascii="Cambria Math" w:hAnsi="Cambria Math"/>
            </w:rPr>
            <m:t xml:space="preserve"> × (1 + ΔΞ)</m:t>
          </m:r>
        </m:oMath>
      </m:oMathPara>
    </w:p>
    <w:p w14:paraId="56BECDA6" w14:textId="77777777" w:rsidR="00C879EE" w:rsidRDefault="00000000">
      <w:pPr>
        <w:ind w:left="-5"/>
      </w:pPr>
      <w:r>
        <w:t xml:space="preserve">where (ΔΞ = Ξ(h) − Ξ(h₀)) is the segment density difference. Figure 7 plots the correction factor t_corrected/t_nominal as a function of (h) up to 1 mm. The near‑horizontal line shows that the factor deviates from unity by at most (10⁻¹⁹). A log‑scale version (Figure 8) emphasises the tiny magnitude of the deviation across several orders of magnitude in (h). </w:t>
      </w:r>
    </w:p>
    <w:p w14:paraId="70E435D7" w14:textId="77777777" w:rsidR="00C879EE" w:rsidRDefault="00000000">
      <w:pPr>
        <w:spacing w:after="124" w:line="259" w:lineRule="auto"/>
        <w:ind w:left="0" w:right="687" w:firstLine="0"/>
        <w:jc w:val="center"/>
      </w:pPr>
      <w:r>
        <w:rPr>
          <w:noProof/>
        </w:rPr>
        <w:drawing>
          <wp:inline distT="0" distB="0" distL="0" distR="0" wp14:anchorId="70936D5B" wp14:editId="62D72E8C">
            <wp:extent cx="5028819" cy="3028315"/>
            <wp:effectExtent l="0" t="0" r="0" b="0"/>
            <wp:docPr id="1356" name="Picture 1356"/>
            <wp:cNvGraphicFramePr/>
            <a:graphic xmlns:a="http://schemas.openxmlformats.org/drawingml/2006/main">
              <a:graphicData uri="http://schemas.openxmlformats.org/drawingml/2006/picture">
                <pic:pic xmlns:pic="http://schemas.openxmlformats.org/drawingml/2006/picture">
                  <pic:nvPicPr>
                    <pic:cNvPr id="1356" name="Picture 1356"/>
                    <pic:cNvPicPr/>
                  </pic:nvPicPr>
                  <pic:blipFill>
                    <a:blip r:embed="rId10"/>
                    <a:stretch>
                      <a:fillRect/>
                    </a:stretch>
                  </pic:blipFill>
                  <pic:spPr>
                    <a:xfrm>
                      <a:off x="0" y="0"/>
                      <a:ext cx="5028819" cy="3028315"/>
                    </a:xfrm>
                    <a:prstGeom prst="rect">
                      <a:avLst/>
                    </a:prstGeom>
                  </pic:spPr>
                </pic:pic>
              </a:graphicData>
            </a:graphic>
          </wp:inline>
        </w:drawing>
      </w:r>
      <w:r>
        <w:t xml:space="preserve"> </w:t>
      </w:r>
    </w:p>
    <w:p w14:paraId="7DF25F74" w14:textId="77777777" w:rsidR="00C879EE" w:rsidRDefault="00000000">
      <w:pPr>
        <w:ind w:left="-5"/>
      </w:pPr>
      <w:r>
        <w:t xml:space="preserve">Gate timing correction factor t_corrected/t_nominal vs. height difference. The line is essentially flat: t_corrected deviates from t_nominal by less than (10⁻¹⁹) up to 1 mm. </w:t>
      </w:r>
    </w:p>
    <w:p w14:paraId="5644EA23" w14:textId="77777777" w:rsidR="00C879EE" w:rsidRDefault="00000000">
      <w:pPr>
        <w:spacing w:after="114" w:line="259" w:lineRule="auto"/>
        <w:ind w:left="0" w:firstLine="0"/>
      </w:pPr>
      <w:r>
        <w:t xml:space="preserve"> </w:t>
      </w:r>
    </w:p>
    <w:p w14:paraId="2CD72A71" w14:textId="77777777" w:rsidR="00C879EE" w:rsidRDefault="00000000">
      <w:pPr>
        <w:spacing w:after="121" w:line="259" w:lineRule="auto"/>
        <w:ind w:left="0" w:right="687" w:firstLine="0"/>
        <w:jc w:val="center"/>
      </w:pPr>
      <w:r>
        <w:rPr>
          <w:noProof/>
        </w:rPr>
        <w:drawing>
          <wp:inline distT="0" distB="0" distL="0" distR="0" wp14:anchorId="74219FAD" wp14:editId="48F7A27D">
            <wp:extent cx="5028311" cy="3174365"/>
            <wp:effectExtent l="0" t="0" r="0" b="0"/>
            <wp:docPr id="1358" name="Picture 1358"/>
            <wp:cNvGraphicFramePr/>
            <a:graphic xmlns:a="http://schemas.openxmlformats.org/drawingml/2006/main">
              <a:graphicData uri="http://schemas.openxmlformats.org/drawingml/2006/picture">
                <pic:pic xmlns:pic="http://schemas.openxmlformats.org/drawingml/2006/picture">
                  <pic:nvPicPr>
                    <pic:cNvPr id="1358" name="Picture 1358"/>
                    <pic:cNvPicPr/>
                  </pic:nvPicPr>
                  <pic:blipFill>
                    <a:blip r:embed="rId11"/>
                    <a:stretch>
                      <a:fillRect/>
                    </a:stretch>
                  </pic:blipFill>
                  <pic:spPr>
                    <a:xfrm>
                      <a:off x="0" y="0"/>
                      <a:ext cx="5028311" cy="3174365"/>
                    </a:xfrm>
                    <a:prstGeom prst="rect">
                      <a:avLst/>
                    </a:prstGeom>
                  </pic:spPr>
                </pic:pic>
              </a:graphicData>
            </a:graphic>
          </wp:inline>
        </w:drawing>
      </w:r>
      <w:r>
        <w:t xml:space="preserve"> </w:t>
      </w:r>
    </w:p>
    <w:p w14:paraId="5583EFD7" w14:textId="77777777" w:rsidR="00C879EE" w:rsidRDefault="00000000">
      <w:pPr>
        <w:ind w:left="-5"/>
      </w:pPr>
      <w:r>
        <w:t xml:space="preserve">Relative deviation t_corrected/t_nominal − 1 vs. height difference on a logarithmic scale. Dashed lines at (10⁻¹⁹) and (10⁻¹⁶) indicate thresholds relevant for current clock precision. </w:t>
      </w:r>
    </w:p>
    <w:p w14:paraId="4194ED30" w14:textId="77777777" w:rsidR="00C879EE" w:rsidRDefault="00000000">
      <w:pPr>
        <w:spacing w:after="0" w:line="259" w:lineRule="auto"/>
        <w:ind w:left="0" w:firstLine="0"/>
      </w:pPr>
      <w:r>
        <w:t xml:space="preserve"> </w:t>
      </w:r>
    </w:p>
    <w:p w14:paraId="095C1B5D" w14:textId="77777777" w:rsidR="00C879EE" w:rsidRDefault="00000000">
      <w:pPr>
        <w:pStyle w:val="berschrift2"/>
        <w:ind w:left="511" w:hanging="526"/>
      </w:pPr>
      <w:r>
        <w:t>Two</w:t>
      </w:r>
      <w:r>
        <w:rPr>
          <w:rFonts w:ascii="Cambria Math" w:eastAsia="Cambria Math" w:hAnsi="Cambria Math" w:cs="Cambria Math"/>
          <w:b w:val="0"/>
        </w:rPr>
        <w:t>‑</w:t>
      </w:r>
      <w:r>
        <w:t xml:space="preserve">qubit gate corrections </w:t>
      </w:r>
    </w:p>
    <w:p w14:paraId="2D9278DB" w14:textId="77777777" w:rsidR="00C879EE" w:rsidRDefault="00000000">
      <w:pPr>
        <w:ind w:left="-5"/>
      </w:pPr>
      <w:r>
        <w:t xml:space="preserve">For entangling operations involving two qubits at heights (h_A) and (h_B), one must ensure that the gate remains symmetric under interchange of (A) and (B). A natural choice is to rescale using the geometric mean of the time‑dilation factors: </w:t>
      </w:r>
    </w:p>
    <w:p w14:paraId="67333AA1" w14:textId="77777777" w:rsidR="00C879EE" w:rsidRDefault="00000000">
      <w:pPr>
        <w:ind w:left="-5"/>
      </w:pPr>
      <m:oMathPara>
        <m:oMath>
          <m:sSub>
            <m:e>
              <m:r>
                <m:rPr>
                  <m:sty m:val="i"/>
                </m:rPr>
                <w:rPr>
                  <w:rFonts w:ascii="Cambria Math" w:hAnsi="Cambria Math"/>
                </w:rPr>
                <m:t xml:space="preserve">t</m:t>
              </m:r>
            </m:e>
            <m:sub>
              <m:r>
                <m:rPr>
                  <m:sty m:val="i"/>
                </m:rPr>
                <w:rPr>
                  <w:rFonts w:ascii="Cambria Math" w:hAnsi="Cambria Math"/>
                </w:rPr>
                <m:t xml:space="preserve">2Q</m:t>
              </m:r>
            </m:sub>
          </m:sSub>
          <m:r>
            <m:rPr>
              <m:sty m:val="i"/>
            </m:rPr>
            <w:rPr>
              <w:rFonts w:ascii="Cambria Math" w:hAnsi="Cambria Math"/>
            </w:rPr>
            <m:t xml:space="preserve"> = </m:t>
          </m:r>
          <m:sSub>
            <m:e>
              <m:r>
                <m:rPr>
                  <m:sty m:val="i"/>
                </m:rPr>
                <w:rPr>
                  <w:rFonts w:ascii="Cambria Math" w:hAnsi="Cambria Math"/>
                </w:rPr>
                <m:t xml:space="preserve">t</m:t>
              </m:r>
            </m:e>
            <m:sub>
              <m:r>
                <m:rPr>
                  <m:sty m:val="i"/>
                </m:rPr>
                <w:rPr>
                  <w:rFonts w:ascii="Cambria Math" w:hAnsi="Cambria Math"/>
                </w:rPr>
                <m:t xml:space="preserve">nominal</m:t>
              </m:r>
            </m:sub>
          </m:sSub>
          <m:r>
            <m:rPr>
              <m:sty m:val="i"/>
            </m:rPr>
            <w:rPr>
              <w:rFonts w:ascii="Cambria Math" w:hAnsi="Cambria Math"/>
            </w:rPr>
            <m:t xml:space="preserve"> × </m:t>
          </m:r>
          <m:rad>
            <m:radPr>
              <m:degHide m:val="1"/>
            </m:radPr>
            <m:deg/>
            <m:e>
              <m:r>
                <m:rPr>
                  <m:sty m:val="i"/>
                </m:rPr>
                <w:rPr>
                  <w:rFonts w:ascii="Cambria Math" w:hAnsi="Cambria Math"/>
                </w:rPr>
                <m:t xml:space="preserve">D_SSZ(h_A) × D_SSZ(h_B) / D_SSZ(h_ref)²</m:t>
              </m:r>
            </m:e>
          </m:rad>
        </m:oMath>
      </m:oMathPara>
    </w:p>
    <w:p w14:paraId="335D20DC" w14:textId="77777777" w:rsidR="00C879EE" w:rsidRDefault="00000000">
      <w:pPr>
        <w:ind w:left="-5"/>
      </w:pPr>
      <w:r>
        <w:t xml:space="preserve">When (h_A = h_B) this reduces to the single‑qubit formula; when the qubits differ by a height (h), the correction factor differs from unity by approximately ((D_SSZ(h_A) - D_SSZ(h_B))), reflecting the linear dependence of time dilation on height. </w:t>
      </w:r>
    </w:p>
    <w:p w14:paraId="16C260C1" w14:textId="77777777" w:rsidR="00C879EE" w:rsidRDefault="00000000">
      <w:pPr>
        <w:spacing w:after="0" w:line="391" w:lineRule="auto"/>
        <w:ind w:left="0" w:right="9350" w:firstLine="0"/>
      </w:pPr>
      <w:r>
        <w:t xml:space="preserve">                    </w:t>
      </w:r>
    </w:p>
    <w:p w14:paraId="3A0694DF" w14:textId="77777777" w:rsidR="00C879EE" w:rsidRDefault="00000000">
      <w:pPr>
        <w:pStyle w:val="berschrift1"/>
        <w:spacing w:after="147"/>
        <w:ind w:left="381" w:hanging="396"/>
        <w:pageBreakBefore/>
      </w:pPr>
      <w:r>
        <w:t>Segment</w:t>
      </w:r>
      <w:r>
        <w:rPr>
          <w:rFonts w:ascii="Cambria Math" w:eastAsia="Cambria Math" w:hAnsi="Cambria Math" w:cs="Cambria Math"/>
          <w:b w:val="0"/>
        </w:rPr>
        <w:t>‑</w:t>
      </w:r>
      <w:r>
        <w:t xml:space="preserve">Coherent Zones and Chip Design </w:t>
      </w:r>
    </w:p>
    <w:p w14:paraId="2989F0CD" w14:textId="77777777" w:rsidR="00C879EE" w:rsidRDefault="00000000">
      <w:pPr>
        <w:pStyle w:val="berschrift2"/>
        <w:ind w:left="513" w:hanging="528"/>
      </w:pPr>
      <w:r>
        <w:t>Definition of segment</w:t>
      </w:r>
      <w:r>
        <w:rPr>
          <w:rFonts w:ascii="Cambria Math" w:eastAsia="Cambria Math" w:hAnsi="Cambria Math" w:cs="Cambria Math"/>
          <w:b w:val="0"/>
        </w:rPr>
        <w:t>‑</w:t>
      </w:r>
      <w:r>
        <w:t xml:space="preserve">coherent zones </w:t>
      </w:r>
    </w:p>
    <w:p w14:paraId="2BE7AE62" w14:textId="77777777" w:rsidR="00C879EE" w:rsidRDefault="00000000">
      <w:pPr>
        <w:ind w:left="-5"/>
      </w:pPr>
      <w:r>
        <w:t xml:space="preserve">We define a </w:t>
      </w:r>
      <w:r>
        <w:rPr>
          <w:b/>
        </w:rPr>
        <w:t>segment‑coherent zone</w:t>
      </w:r>
      <w:r>
        <w:t xml:space="preserve"> as a vertical interval ([h_0 - z/2, h_0 + z/2]) within which the variation of the segment density around the central height (h_0) remains below a chosen tolerance (ε): </w:t>
      </w:r>
    </w:p>
    <w:p w14:paraId="7219AB22" w14:textId="77777777" w:rsidR="00C879EE" w:rsidRDefault="00000000">
      <w:pPr>
        <w:spacing w:after="169" w:line="249" w:lineRule="auto"/>
        <w:ind w:left="-5" w:right="2"/>
      </w:pPr>
      <w:r>
        <w:t xml:space="preserve">|Ξ(h) - Ξ(h₀)| &lt; ε </w:t>
      </w:r>
    </w:p>
    <w:p w14:paraId="5DC726C5" w14:textId="77777777" w:rsidR="00C879EE" w:rsidRDefault="00000000">
      <w:pPr>
        <w:spacing w:after="205"/>
        <w:ind w:left="-5"/>
      </w:pPr>
      <w:r>
        <w:lastRenderedPageBreak/>
        <w:t xml:space="preserve">In other words, qubits located within the same coherent zone experience nearly identical proper times. This concept is crucial for designing chip layouts that minimise systematic timing errors. </w:t>
      </w:r>
    </w:p>
    <w:p w14:paraId="3C27314D" w14:textId="77777777" w:rsidR="00C879EE" w:rsidRDefault="00000000">
      <w:pPr>
        <w:pStyle w:val="berschrift2"/>
        <w:ind w:left="513" w:hanging="528"/>
      </w:pPr>
      <w:r>
        <w:t xml:space="preserve">Derivation of zone width </w:t>
      </w:r>
    </w:p>
    <w:p w14:paraId="469B39BA" w14:textId="77777777" w:rsidR="00C879EE" w:rsidRDefault="00000000">
      <w:pPr>
        <w:spacing w:after="44" w:line="353" w:lineRule="auto"/>
        <w:ind w:left="-5" w:right="842"/>
      </w:pPr>
      <w:r>
        <w:t xml:space="preserve">Expanding Ξ(h) linearly about (h_0) gives Ξ(h) ≈ Ξ(h₀) − (r_s/(2R²))(h − h₀). Setting the absolute deviation at the edges of the zone (h = h_0 z/2) equal to the tolerance (ε) yields ε = (r_s / 4R_Earth²) × z, so the width of a coherent zone is z = 4 ε R_Earth² / r_s </w:t>
      </w:r>
    </w:p>
    <w:p w14:paraId="4C027DD8" w14:textId="77777777" w:rsidR="00C879EE" w:rsidRDefault="00000000">
      <w:pPr>
        <w:spacing w:after="214"/>
        <w:ind w:left="-5" w:right="149"/>
        <w:jc w:val="center"/>
      </w:pPr>
      <w:r>
        <w:t xml:space="preserve">Table 4 lists typical zone widths for tolerances ranging from 10⁻¹⁴ to 10⁻¹⁹. For a tolerance of 10⁻¹⁸ — appropriate for gate operations requiring errors below 10⁻¹⁸ —the zone width is about 18.3 mm. Figure 9 shows how z varies with the tolerance ε: smaller tolerances lead to narrower coherent zones. </w:t>
      </w:r>
    </w:p>
    <w:p w14:paraId="16A2A92E" w14:textId="77777777" w:rsidR="00C879EE" w:rsidRDefault="00000000">
      <w:pPr>
        <w:tabs>
          <w:tab w:val="center" w:pos="3655"/>
          <w:tab w:val="center" w:pos="5607"/>
        </w:tabs>
        <w:spacing w:after="11"/>
        <w:ind w:left="0" w:firstLine="0"/>
      </w:pPr>
      <w:r>
        <w:t>Tolerance (</w:t>
      </w:r>
      <w:r>
        <w:rPr>
          <w:rFonts w:ascii="Cambria Math" w:eastAsia="Cambria Math" w:hAnsi="Cambria Math" w:cs="Cambria Math"/>
        </w:rPr>
        <w:t>𝜖</w:t>
      </w:r>
      <w:r>
        <w:t xml:space="preserve">) </w:t>
      </w:r>
      <w:r>
        <w:tab/>
        <w:t xml:space="preserve">Zone width </w:t>
      </w:r>
      <w:r>
        <w:tab/>
        <w:t>(</w:t>
      </w:r>
      <w:r>
        <w:rPr>
          <w:rFonts w:ascii="Cambria Math" w:eastAsia="Cambria Math" w:hAnsi="Cambria Math" w:cs="Cambria Math"/>
        </w:rPr>
        <w:t>𝑧</w:t>
      </w:r>
      <w:r>
        <w:t xml:space="preserve">) Typical application </w:t>
      </w:r>
    </w:p>
    <w:p w14:paraId="7940F7CA" w14:textId="77777777" w:rsidR="00C879EE" w:rsidRDefault="00000000">
      <w:pPr>
        <w:spacing w:after="41" w:line="259" w:lineRule="auto"/>
        <w:ind w:left="0" w:firstLine="0"/>
        <w:jc w:val="center"/>
      </w:pPr>
      <w:r>
        <w:rPr>
          <w:rFonts w:ascii="Calibri" w:eastAsia="Calibri" w:hAnsi="Calibri" w:cs="Calibri"/>
          <w:noProof/>
          <w:sz w:val="22"/>
        </w:rPr>
        <mc:AlternateContent>
          <mc:Choice Requires="wpg">
            <w:drawing>
              <wp:inline distT="0" distB="0" distL="0" distR="0" wp14:anchorId="5F216BF3" wp14:editId="2037419D">
                <wp:extent cx="5811978" cy="1524"/>
                <wp:effectExtent l="0" t="0" r="0" b="0"/>
                <wp:docPr id="20267" name="Group 20267"/>
                <wp:cNvGraphicFramePr/>
                <a:graphic xmlns:a="http://schemas.openxmlformats.org/drawingml/2006/main">
                  <a:graphicData uri="http://schemas.microsoft.com/office/word/2010/wordprocessingGroup">
                    <wpg:wgp>
                      <wpg:cNvGrpSpPr/>
                      <wpg:grpSpPr>
                        <a:xfrm>
                          <a:off x="0" y="0"/>
                          <a:ext cx="5811978" cy="1524"/>
                          <a:chOff x="0" y="0"/>
                          <a:chExt cx="5811978" cy="1524"/>
                        </a:xfrm>
                      </wpg:grpSpPr>
                      <wps:wsp>
                        <wps:cNvPr id="24634" name="Shape 24634"/>
                        <wps:cNvSpPr/>
                        <wps:spPr>
                          <a:xfrm>
                            <a:off x="0" y="0"/>
                            <a:ext cx="1481328" cy="9144"/>
                          </a:xfrm>
                          <a:custGeom>
                            <a:avLst/>
                            <a:gdLst/>
                            <a:ahLst/>
                            <a:cxnLst/>
                            <a:rect l="0" t="0" r="0" b="0"/>
                            <a:pathLst>
                              <a:path w="1481328" h="9144">
                                <a:moveTo>
                                  <a:pt x="0" y="0"/>
                                </a:moveTo>
                                <a:lnTo>
                                  <a:pt x="1481328" y="0"/>
                                </a:lnTo>
                                <a:lnTo>
                                  <a:pt x="14813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35" name="Shape 24635"/>
                        <wps:cNvSpPr/>
                        <wps:spPr>
                          <a:xfrm>
                            <a:off x="148127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36" name="Shape 24636"/>
                        <wps:cNvSpPr/>
                        <wps:spPr>
                          <a:xfrm>
                            <a:off x="1482801" y="0"/>
                            <a:ext cx="1275842" cy="9144"/>
                          </a:xfrm>
                          <a:custGeom>
                            <a:avLst/>
                            <a:gdLst/>
                            <a:ahLst/>
                            <a:cxnLst/>
                            <a:rect l="0" t="0" r="0" b="0"/>
                            <a:pathLst>
                              <a:path w="1275842" h="9144">
                                <a:moveTo>
                                  <a:pt x="0" y="0"/>
                                </a:moveTo>
                                <a:lnTo>
                                  <a:pt x="1275842" y="0"/>
                                </a:lnTo>
                                <a:lnTo>
                                  <a:pt x="12758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37" name="Shape 24637"/>
                        <wps:cNvSpPr/>
                        <wps:spPr>
                          <a:xfrm>
                            <a:off x="275877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38" name="Shape 24638"/>
                        <wps:cNvSpPr/>
                        <wps:spPr>
                          <a:xfrm>
                            <a:off x="2760294" y="0"/>
                            <a:ext cx="3051683" cy="9144"/>
                          </a:xfrm>
                          <a:custGeom>
                            <a:avLst/>
                            <a:gdLst/>
                            <a:ahLst/>
                            <a:cxnLst/>
                            <a:rect l="0" t="0" r="0" b="0"/>
                            <a:pathLst>
                              <a:path w="3051683" h="9144">
                                <a:moveTo>
                                  <a:pt x="0" y="0"/>
                                </a:moveTo>
                                <a:lnTo>
                                  <a:pt x="3051683" y="0"/>
                                </a:lnTo>
                                <a:lnTo>
                                  <a:pt x="305168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0267" style="width:457.636pt;height:0.119995pt;mso-position-horizontal-relative:char;mso-position-vertical-relative:line" coordsize="58119,15">
                <v:shape id="Shape 24639" style="position:absolute;width:14813;height:91;left:0;top:0;" coordsize="1481328,9144" path="m0,0l1481328,0l1481328,9144l0,9144l0,0">
                  <v:stroke weight="0pt" endcap="flat" joinstyle="miter" miterlimit="10" on="false" color="#000000" opacity="0"/>
                  <v:fill on="true" color="#000000"/>
                </v:shape>
                <v:shape id="Shape 24640" style="position:absolute;width:91;height:91;left:14812;top:0;" coordsize="9144,9144" path="m0,0l9144,0l9144,9144l0,9144l0,0">
                  <v:stroke weight="0pt" endcap="flat" joinstyle="miter" miterlimit="10" on="false" color="#000000" opacity="0"/>
                  <v:fill on="true" color="#000000"/>
                </v:shape>
                <v:shape id="Shape 24641" style="position:absolute;width:12758;height:91;left:14828;top:0;" coordsize="1275842,9144" path="m0,0l1275842,0l1275842,9144l0,9144l0,0">
                  <v:stroke weight="0pt" endcap="flat" joinstyle="miter" miterlimit="10" on="false" color="#000000" opacity="0"/>
                  <v:fill on="true" color="#000000"/>
                </v:shape>
                <v:shape id="Shape 24642" style="position:absolute;width:91;height:91;left:27587;top:0;" coordsize="9144,9144" path="m0,0l9144,0l9144,9144l0,9144l0,0">
                  <v:stroke weight="0pt" endcap="flat" joinstyle="miter" miterlimit="10" on="false" color="#000000" opacity="0"/>
                  <v:fill on="true" color="#000000"/>
                </v:shape>
                <v:shape id="Shape 24643" style="position:absolute;width:30516;height:91;left:27602;top:0;" coordsize="3051683,9144" path="m0,0l3051683,0l3051683,9144l0,9144l0,0">
                  <v:stroke weight="0pt" endcap="flat" joinstyle="miter" miterlimit="10" on="false" color="#000000" opacity="0"/>
                  <v:fill on="true" color="#000000"/>
                </v:shape>
              </v:group>
            </w:pict>
          </mc:Fallback>
        </mc:AlternateContent>
      </w:r>
    </w:p>
    <w:tbl>
      <w:tblPr>
        <w:tblStyle w:val="TableGrid"/>
        <w:tblLook w:val="04A0" w:firstRow="1" w:lastRow="0" w:firstColumn="1" w:lastColumn="0" w:noHBand="0" w:noVBand="1"/>
        <w:tblW w:w="5000" w:type="pct"/>
        <w:tblLayout w:type="autofit"/>
        <w:jc w:val="center"/>
        <w:tblBorders>
          <w:top w:val="single" w:sz="6" w:space="0" w:color="4472C4"/>
          <w:left w:val="single" w:sz="6" w:space="0" w:color="4472C4"/>
          <w:bottom w:val="single" w:sz="6" w:space="0" w:color="4472C4"/>
          <w:right w:val="single" w:sz="6" w:space="0" w:color="4472C4"/>
          <w:insideH w:val="single" w:sz="4" w:space="0" w:color="8EAADB"/>
          <w:insideV w:val="single" w:sz="4" w:space="0" w:color="8EAADB"/>
        </w:tblBorders>
        <w:tblCellMar>
          <w:top w:w="40" w:type="dxa"/>
          <w:left w:w="80" w:type="dxa"/>
          <w:bottom w:w="40" w:type="dxa"/>
          <w:right w:w="80" w:type="dxa"/>
        </w:tblCellMar>
      </w:tblPr>
      <w:tblGrid>
        <w:gridCol/>
        <w:gridCol/>
        <w:gridCol/>
      </w:tblGrid>
      <w:tr w:rsidR="00C879EE" w14:paraId="0191941A" w14:textId="77777777">
        <w:trPr>
          <w:trHeight w:val="378"/>
        </w:trPr>
        <w:tc>
          <w:tcPr>
            <w:tcW w:w="1666" w:type="pct"/>
            <w:tcBorders>
              <w:top w:val="single" w:sz="4" w:space="0" w:color="8EAADB"/>
              <w:left w:val="single" w:sz="4" w:space="0" w:color="8EAADB"/>
              <w:bottom w:val="single" w:sz="4" w:space="0" w:color="8EAADB"/>
              <w:right w:val="single" w:sz="4" w:space="0" w:color="8EAADB"/>
            </w:tcBorders>
            <w:vAlign w:val="center"/>
            <w:shd w:val="clear" w:color="auto" w:fill="D9E2F3"/>
          </w:tcPr>
          <w:p w14:paraId="4C6EF56C" w14:textId="77777777" w:rsidR="00C879EE" w:rsidRDefault="00000000">
            <w:pPr>
              <w:spacing w:after="0" w:line="259" w:lineRule="auto"/>
              <w:ind w:left="0" w:firstLine="0"/>
            </w:pPr>
            <w:r>
              <w:rPr>
                <w:rFonts w:ascii="Cambria Math" w:eastAsia="Cambria Math" w:hAnsi="Cambria Math" w:cs="Cambria Math"/>
                <w:b/>
              </w:rPr>
              <w:t>10</w:t>
            </w:r>
            <w:r>
              <w:rPr>
                <w:rFonts w:ascii="Cambria Math" w:eastAsia="Cambria Math" w:hAnsi="Cambria Math" w:cs="Cambria Math"/>
                <w:b/>
                <w:sz w:val="17"/>
              </w:rPr>
              <w:t>−14</w:t>
            </w:r>
            <w:r>
              <w:rPr>
                <w:b/>
              </w:rPr>
              <w:t xml:space="preserve"> </w:t>
            </w:r>
          </w:p>
        </w:tc>
        <w:tc>
          <w:tcPr>
            <w:tcW w:w="1666" w:type="pct"/>
            <w:tcBorders>
              <w:top w:val="single" w:sz="4" w:space="0" w:color="8EAADB"/>
              <w:left w:val="single" w:sz="4" w:space="0" w:color="8EAADB"/>
              <w:bottom w:val="single" w:sz="4" w:space="0" w:color="8EAADB"/>
              <w:right w:val="single" w:sz="4" w:space="0" w:color="8EAADB"/>
            </w:tcBorders>
            <w:vAlign w:val="center"/>
            <w:shd w:val="clear" w:color="auto" w:fill="D9E2F3"/>
          </w:tcPr>
          <w:p w14:paraId="57C9FF95" w14:textId="77777777" w:rsidR="00C879EE" w:rsidRDefault="00000000">
            <w:pPr>
              <w:spacing w:after="0" w:line="259" w:lineRule="auto"/>
              <w:ind w:left="0" w:firstLine="0"/>
            </w:pPr>
            <w:r>
              <w:rPr>
                <w:b/>
              </w:rPr>
              <w:t>183 m</w:t>
            </w:r>
          </w:p>
        </w:tc>
        <w:tc>
          <w:tcPr>
            <w:tcW w:w="1666" w:type="pct"/>
            <w:tcBorders>
              <w:top w:val="single" w:sz="4" w:space="0" w:color="8EAADB"/>
              <w:left w:val="single" w:sz="4" w:space="0" w:color="8EAADB"/>
              <w:bottom w:val="single" w:sz="4" w:space="0" w:color="8EAADB"/>
              <w:right w:val="single" w:sz="4" w:space="0" w:color="8EAADB"/>
            </w:tcBorders>
            <w:vAlign w:val="center"/>
            <w:shd w:val="clear" w:color="auto" w:fill="D9E2F3"/>
          </w:tcPr>
          <w:p w14:paraId="7B5EDEAD" w14:textId="77777777" w:rsidR="00C879EE" w:rsidRDefault="00000000">
            <w:pPr>
              <w:spacing w:after="0" w:line="259" w:lineRule="auto"/>
              <w:ind w:left="0" w:firstLine="0"/>
              <w:jc w:val="both"/>
            </w:pPr>
            <w:r>
              <w:rPr>
                <w:b/>
              </w:rPr>
              <w:t xml:space="preserve">Laboratory‑scale experiments </w:t>
            </w:r>
          </w:p>
        </w:tc>
      </w:tr>
      <w:tr w:rsidR="00C879EE" w14:paraId="7C477AE4" w14:textId="77777777">
        <w:trPr>
          <w:trHeight w:val="484"/>
        </w:trPr>
        <w:tc>
          <w:tcPr>
            <w:tcW w:w="1666" w:type="pct"/>
            <w:tcBorders>
              <w:top w:val="single" w:sz="4" w:space="0" w:color="8EAADB"/>
              <w:left w:val="single" w:sz="4" w:space="0" w:color="8EAADB"/>
              <w:bottom w:val="single" w:sz="4" w:space="0" w:color="8EAADB"/>
              <w:right w:val="single" w:sz="4" w:space="0" w:color="8EAADB"/>
            </w:tcBorders>
            <w:vAlign w:val="center"/>
          </w:tcPr>
          <w:p w14:paraId="48EB69A9" w14:textId="77777777" w:rsidR="00C879EE" w:rsidRDefault="00000000">
            <w:pPr>
              <w:spacing w:after="0" w:line="259" w:lineRule="auto"/>
              <w:ind w:left="0" w:firstLine="0"/>
            </w:pPr>
            <w:r>
              <w:rPr>
                <w:rFonts w:ascii="Cambria Math" w:eastAsia="Cambria Math" w:hAnsi="Cambria Math" w:cs="Cambria Math"/>
              </w:rPr>
              <w:t>10</w:t>
            </w:r>
            <w:r>
              <w:rPr>
                <w:rFonts w:ascii="Cambria Math" w:eastAsia="Cambria Math" w:hAnsi="Cambria Math" w:cs="Cambria Math"/>
                <w:sz w:val="17"/>
              </w:rPr>
              <w:t>−15</w:t>
            </w:r>
            <w:r>
              <w:t xml:space="preserve"> </w:t>
            </w:r>
          </w:p>
        </w:tc>
        <w:tc>
          <w:tcPr>
            <w:tcW w:w="1666" w:type="pct"/>
            <w:tcBorders>
              <w:top w:val="single" w:sz="4" w:space="0" w:color="8EAADB"/>
              <w:left w:val="single" w:sz="4" w:space="0" w:color="8EAADB"/>
              <w:bottom w:val="single" w:sz="4" w:space="0" w:color="8EAADB"/>
              <w:right w:val="single" w:sz="4" w:space="0" w:color="8EAADB"/>
            </w:tcBorders>
            <w:vAlign w:val="center"/>
          </w:tcPr>
          <w:p w14:paraId="0A41456D" w14:textId="77777777" w:rsidR="00C879EE" w:rsidRDefault="00000000">
            <w:pPr>
              <w:spacing w:after="0" w:line="259" w:lineRule="auto"/>
              <w:ind w:left="0" w:firstLine="0"/>
            </w:pPr>
            <w:r>
              <w:t>18.3 m</w:t>
            </w:r>
          </w:p>
        </w:tc>
        <w:tc>
          <w:tcPr>
            <w:tcW w:w="1666" w:type="pct"/>
            <w:tcBorders>
              <w:top w:val="single" w:sz="4" w:space="0" w:color="8EAADB"/>
              <w:left w:val="single" w:sz="4" w:space="0" w:color="8EAADB"/>
              <w:bottom w:val="single" w:sz="4" w:space="0" w:color="8EAADB"/>
              <w:right w:val="single" w:sz="4" w:space="0" w:color="8EAADB"/>
            </w:tcBorders>
            <w:vAlign w:val="center"/>
          </w:tcPr>
          <w:p w14:paraId="05111B0D" w14:textId="77777777" w:rsidR="00C879EE" w:rsidRDefault="00000000">
            <w:pPr>
              <w:spacing w:after="0" w:line="259" w:lineRule="auto"/>
              <w:ind w:left="0" w:firstLine="0"/>
            </w:pPr>
            <w:r>
              <w:t xml:space="preserve">Cryostat stages </w:t>
            </w:r>
          </w:p>
        </w:tc>
      </w:tr>
      <w:tr w:rsidR="00C879EE" w14:paraId="32FF4629" w14:textId="77777777">
        <w:trPr>
          <w:trHeight w:val="479"/>
        </w:trPr>
        <w:tc>
          <w:tcPr>
            <w:tcW w:w="1666" w:type="pct"/>
            <w:tcBorders>
              <w:top w:val="single" w:sz="4" w:space="0" w:color="8EAADB"/>
              <w:left w:val="single" w:sz="4" w:space="0" w:color="8EAADB"/>
              <w:bottom w:val="single" w:sz="4" w:space="0" w:color="8EAADB"/>
              <w:right w:val="single" w:sz="4" w:space="0" w:color="8EAADB"/>
            </w:tcBorders>
            <w:vAlign w:val="center"/>
            <w:shd w:val="clear" w:color="auto" w:fill="F2F6FC"/>
          </w:tcPr>
          <w:p w14:paraId="5D426D5E" w14:textId="77777777" w:rsidR="00C879EE" w:rsidRDefault="00000000">
            <w:pPr>
              <w:spacing w:after="0" w:line="259" w:lineRule="auto"/>
              <w:ind w:left="0" w:firstLine="0"/>
            </w:pPr>
            <w:r>
              <w:rPr>
                <w:rFonts w:ascii="Cambria Math" w:eastAsia="Cambria Math" w:hAnsi="Cambria Math" w:cs="Cambria Math"/>
              </w:rPr>
              <w:t>10</w:t>
            </w:r>
            <w:r>
              <w:rPr>
                <w:rFonts w:ascii="Cambria Math" w:eastAsia="Cambria Math" w:hAnsi="Cambria Math" w:cs="Cambria Math"/>
                <w:sz w:val="17"/>
              </w:rPr>
              <w:t>−16</w:t>
            </w:r>
            <w:r>
              <w:t xml:space="preserve"> </w:t>
            </w:r>
          </w:p>
        </w:tc>
        <w:tc>
          <w:tcPr>
            <w:tcW w:w="1666" w:type="pct"/>
            <w:tcBorders>
              <w:top w:val="single" w:sz="4" w:space="0" w:color="8EAADB"/>
              <w:left w:val="single" w:sz="4" w:space="0" w:color="8EAADB"/>
              <w:bottom w:val="single" w:sz="4" w:space="0" w:color="8EAADB"/>
              <w:right w:val="single" w:sz="4" w:space="0" w:color="8EAADB"/>
            </w:tcBorders>
            <w:vAlign w:val="center"/>
            <w:shd w:val="clear" w:color="auto" w:fill="F2F6FC"/>
          </w:tcPr>
          <w:p w14:paraId="586AA8C2" w14:textId="77777777" w:rsidR="00C879EE" w:rsidRDefault="00000000">
            <w:pPr>
              <w:spacing w:after="0" w:line="259" w:lineRule="auto"/>
              <w:ind w:left="0" w:firstLine="0"/>
            </w:pPr>
            <w:r>
              <w:t>1.83 m</w:t>
            </w:r>
          </w:p>
        </w:tc>
        <w:tc>
          <w:tcPr>
            <w:tcW w:w="1666" w:type="pct"/>
            <w:tcBorders>
              <w:top w:val="single" w:sz="4" w:space="0" w:color="8EAADB"/>
              <w:left w:val="single" w:sz="4" w:space="0" w:color="8EAADB"/>
              <w:bottom w:val="single" w:sz="4" w:space="0" w:color="8EAADB"/>
              <w:right w:val="single" w:sz="4" w:space="0" w:color="8EAADB"/>
            </w:tcBorders>
            <w:vAlign w:val="center"/>
            <w:shd w:val="clear" w:color="auto" w:fill="F2F6FC"/>
          </w:tcPr>
          <w:p w14:paraId="0ED8ECC0" w14:textId="77777777" w:rsidR="00C879EE" w:rsidRDefault="00000000">
            <w:pPr>
              <w:spacing w:after="0" w:line="259" w:lineRule="auto"/>
              <w:ind w:left="0" w:firstLine="0"/>
            </w:pPr>
            <w:r>
              <w:t xml:space="preserve">Module separation </w:t>
            </w:r>
          </w:p>
        </w:tc>
      </w:tr>
      <w:tr w:rsidR="00C879EE" w14:paraId="7F573A97" w14:textId="77777777">
        <w:trPr>
          <w:trHeight w:val="481"/>
        </w:trPr>
        <w:tc>
          <w:tcPr>
            <w:tcW w:w="1666" w:type="pct"/>
            <w:tcBorders>
              <w:top w:val="single" w:sz="4" w:space="0" w:color="8EAADB"/>
              <w:left w:val="single" w:sz="4" w:space="0" w:color="8EAADB"/>
              <w:bottom w:val="single" w:sz="4" w:space="0" w:color="8EAADB"/>
              <w:right w:val="single" w:sz="4" w:space="0" w:color="8EAADB"/>
            </w:tcBorders>
            <w:vAlign w:val="center"/>
          </w:tcPr>
          <w:p w14:paraId="06336685" w14:textId="77777777" w:rsidR="00C879EE" w:rsidRDefault="00000000">
            <w:pPr>
              <w:spacing w:after="0" w:line="259" w:lineRule="auto"/>
              <w:ind w:left="0" w:firstLine="0"/>
            </w:pPr>
            <w:r>
              <w:rPr>
                <w:rFonts w:ascii="Cambria Math" w:eastAsia="Cambria Math" w:hAnsi="Cambria Math" w:cs="Cambria Math"/>
              </w:rPr>
              <w:t>10</w:t>
            </w:r>
            <w:r>
              <w:rPr>
                <w:rFonts w:ascii="Cambria Math" w:eastAsia="Cambria Math" w:hAnsi="Cambria Math" w:cs="Cambria Math"/>
                <w:sz w:val="17"/>
              </w:rPr>
              <w:t>−17</w:t>
            </w:r>
            <w:r>
              <w:t xml:space="preserve"> </w:t>
            </w:r>
          </w:p>
        </w:tc>
        <w:tc>
          <w:tcPr>
            <w:tcW w:w="1666" w:type="pct"/>
            <w:tcBorders>
              <w:top w:val="single" w:sz="4" w:space="0" w:color="8EAADB"/>
              <w:left w:val="single" w:sz="4" w:space="0" w:color="8EAADB"/>
              <w:bottom w:val="single" w:sz="4" w:space="0" w:color="8EAADB"/>
              <w:right w:val="single" w:sz="4" w:space="0" w:color="8EAADB"/>
            </w:tcBorders>
            <w:vAlign w:val="center"/>
          </w:tcPr>
          <w:p w14:paraId="7CF0A4B3" w14:textId="77777777" w:rsidR="00C879EE" w:rsidRDefault="00000000">
            <w:pPr>
              <w:spacing w:after="0" w:line="259" w:lineRule="auto"/>
              <w:ind w:left="0" w:firstLine="0"/>
            </w:pPr>
            <w:r>
              <w:t>183 mm</w:t>
            </w:r>
          </w:p>
        </w:tc>
        <w:tc>
          <w:tcPr>
            <w:tcW w:w="1666" w:type="pct"/>
            <w:tcBorders>
              <w:top w:val="single" w:sz="4" w:space="0" w:color="8EAADB"/>
              <w:left w:val="single" w:sz="4" w:space="0" w:color="8EAADB"/>
              <w:bottom w:val="single" w:sz="4" w:space="0" w:color="8EAADB"/>
              <w:right w:val="single" w:sz="4" w:space="0" w:color="8EAADB"/>
            </w:tcBorders>
            <w:vAlign w:val="center"/>
          </w:tcPr>
          <w:p w14:paraId="36EB638F" w14:textId="77777777" w:rsidR="00C879EE" w:rsidRDefault="00000000">
            <w:pPr>
              <w:spacing w:after="0" w:line="259" w:lineRule="auto"/>
              <w:ind w:left="0" w:firstLine="0"/>
            </w:pPr>
            <w:r>
              <w:t xml:space="preserve">Chip–package interface </w:t>
            </w:r>
          </w:p>
        </w:tc>
      </w:tr>
      <w:tr w:rsidR="00C879EE" w14:paraId="486F8EBB" w14:textId="77777777">
        <w:trPr>
          <w:trHeight w:val="483"/>
        </w:trPr>
        <w:tc>
          <w:tcPr>
            <w:tcW w:w="1666" w:type="pct"/>
            <w:tcBorders>
              <w:top w:val="single" w:sz="4" w:space="0" w:color="8EAADB"/>
              <w:left w:val="single" w:sz="4" w:space="0" w:color="8EAADB"/>
              <w:bottom w:val="single" w:sz="4" w:space="0" w:color="8EAADB"/>
              <w:right w:val="single" w:sz="4" w:space="0" w:color="8EAADB"/>
            </w:tcBorders>
            <w:vAlign w:val="center"/>
            <w:shd w:val="clear" w:color="auto" w:fill="F2F6FC"/>
          </w:tcPr>
          <w:p w14:paraId="506FA44C" w14:textId="77777777" w:rsidR="00C879EE" w:rsidRDefault="00000000">
            <w:pPr>
              <w:spacing w:after="0" w:line="259" w:lineRule="auto"/>
              <w:ind w:left="0" w:firstLine="0"/>
            </w:pPr>
            <w:r>
              <w:rPr>
                <w:rFonts w:ascii="Cambria Math" w:eastAsia="Cambria Math" w:hAnsi="Cambria Math" w:cs="Cambria Math"/>
              </w:rPr>
              <w:t>10</w:t>
            </w:r>
            <w:r>
              <w:rPr>
                <w:rFonts w:ascii="Cambria Math" w:eastAsia="Cambria Math" w:hAnsi="Cambria Math" w:cs="Cambria Math"/>
                <w:sz w:val="17"/>
              </w:rPr>
              <w:t>−18</w:t>
            </w:r>
            <w:r>
              <w:t xml:space="preserve"> </w:t>
            </w:r>
          </w:p>
        </w:tc>
        <w:tc>
          <w:tcPr>
            <w:tcW w:w="1666" w:type="pct"/>
            <w:tcBorders>
              <w:top w:val="single" w:sz="4" w:space="0" w:color="8EAADB"/>
              <w:left w:val="single" w:sz="4" w:space="0" w:color="8EAADB"/>
              <w:bottom w:val="single" w:sz="4" w:space="0" w:color="8EAADB"/>
              <w:right w:val="single" w:sz="4" w:space="0" w:color="8EAADB"/>
            </w:tcBorders>
            <w:vAlign w:val="center"/>
            <w:shd w:val="clear" w:color="auto" w:fill="F2F6FC"/>
          </w:tcPr>
          <w:p w14:paraId="65FED1BF" w14:textId="77777777" w:rsidR="00C879EE" w:rsidRDefault="00000000">
            <w:pPr>
              <w:spacing w:after="0" w:line="259" w:lineRule="auto"/>
              <w:ind w:left="0" w:firstLine="0"/>
            </w:pPr>
            <w:r>
              <w:t>18.3 mm</w:t>
            </w:r>
          </w:p>
        </w:tc>
        <w:tc>
          <w:tcPr>
            <w:tcW w:w="1666" w:type="pct"/>
            <w:tcBorders>
              <w:top w:val="single" w:sz="4" w:space="0" w:color="8EAADB"/>
              <w:left w:val="single" w:sz="4" w:space="0" w:color="8EAADB"/>
              <w:bottom w:val="single" w:sz="4" w:space="0" w:color="8EAADB"/>
              <w:right w:val="single" w:sz="4" w:space="0" w:color="8EAADB"/>
            </w:tcBorders>
            <w:vAlign w:val="center"/>
            <w:shd w:val="clear" w:color="auto" w:fill="F2F6FC"/>
          </w:tcPr>
          <w:p w14:paraId="7BC179EE" w14:textId="77777777" w:rsidR="00C879EE" w:rsidRDefault="00000000">
            <w:pPr>
              <w:spacing w:after="0" w:line="259" w:lineRule="auto"/>
              <w:ind w:left="0" w:firstLine="0"/>
            </w:pPr>
            <w:r>
              <w:t xml:space="preserve">On‑chip qubit arrays </w:t>
            </w:r>
          </w:p>
        </w:tc>
      </w:tr>
      <w:tr w:rsidR="00C879EE" w14:paraId="10413D4D" w14:textId="77777777">
        <w:trPr>
          <w:trHeight w:val="380"/>
        </w:trPr>
        <w:tc>
          <w:tcPr>
            <w:tcW w:w="1666" w:type="pct"/>
            <w:tcBorders>
              <w:top w:val="single" w:sz="4" w:space="0" w:color="8EAADB"/>
              <w:left w:val="single" w:sz="4" w:space="0" w:color="8EAADB"/>
              <w:bottom w:val="single" w:sz="4" w:space="0" w:color="8EAADB"/>
              <w:right w:val="single" w:sz="4" w:space="0" w:color="8EAADB"/>
            </w:tcBorders>
            <w:vAlign w:val="center"/>
          </w:tcPr>
          <w:p w14:paraId="7AC36BBB" w14:textId="77777777" w:rsidR="00C879EE" w:rsidRDefault="00000000">
            <w:pPr>
              <w:spacing w:after="0" w:line="259" w:lineRule="auto"/>
              <w:ind w:left="2" w:firstLine="0"/>
            </w:pPr>
            <w:r>
              <w:rPr>
                <w:rFonts w:ascii="Cambria Math" w:eastAsia="Cambria Math" w:hAnsi="Cambria Math" w:cs="Cambria Math"/>
              </w:rPr>
              <w:t>10</w:t>
            </w:r>
            <w:r>
              <w:rPr>
                <w:rFonts w:ascii="Cambria Math" w:eastAsia="Cambria Math" w:hAnsi="Cambria Math" w:cs="Cambria Math"/>
                <w:sz w:val="17"/>
              </w:rPr>
              <w:t>−19</w:t>
            </w:r>
            <w:r>
              <w:t xml:space="preserve"> </w:t>
            </w:r>
          </w:p>
        </w:tc>
        <w:tc>
          <w:tcPr>
            <w:tcW w:w="1666" w:type="pct"/>
            <w:tcBorders>
              <w:top w:val="single" w:sz="4" w:space="0" w:color="8EAADB"/>
              <w:left w:val="single" w:sz="4" w:space="0" w:color="8EAADB"/>
              <w:bottom w:val="single" w:sz="4" w:space="0" w:color="8EAADB"/>
              <w:right w:val="single" w:sz="4" w:space="0" w:color="8EAADB"/>
            </w:tcBorders>
            <w:vAlign w:val="center"/>
          </w:tcPr>
          <w:p w14:paraId="3608CFEF" w14:textId="77777777" w:rsidR="00C879EE" w:rsidRDefault="00000000">
            <w:pPr>
              <w:spacing w:after="0" w:line="259" w:lineRule="auto"/>
              <w:ind w:left="0" w:firstLine="0"/>
            </w:pPr>
            <w:r>
              <w:t>1.83 mm</w:t>
            </w:r>
          </w:p>
        </w:tc>
        <w:tc>
          <w:tcPr>
            <w:tcW w:w="1666" w:type="pct"/>
            <w:tcBorders>
              <w:top w:val="single" w:sz="4" w:space="0" w:color="8EAADB"/>
              <w:left w:val="single" w:sz="4" w:space="0" w:color="8EAADB"/>
              <w:bottom w:val="single" w:sz="4" w:space="0" w:color="8EAADB"/>
              <w:right w:val="single" w:sz="4" w:space="0" w:color="8EAADB"/>
            </w:tcBorders>
            <w:vAlign w:val="center"/>
          </w:tcPr>
          <w:p w14:paraId="0B1DC5FD" w14:textId="77777777" w:rsidR="00C879EE" w:rsidRDefault="00000000">
            <w:pPr>
              <w:spacing w:after="0" w:line="259" w:lineRule="auto"/>
              <w:ind w:left="0" w:firstLine="0"/>
            </w:pPr>
            <w:r>
              <w:t xml:space="preserve">Individual junctions </w:t>
            </w:r>
          </w:p>
        </w:tc>
      </w:tr>
    </w:tbl>
    <w:p w14:paraId="31D963E7" w14:textId="77777777" w:rsidR="00C879EE" w:rsidRDefault="00000000">
      <w:pPr>
        <w:spacing w:after="124" w:line="259" w:lineRule="auto"/>
        <w:ind w:left="0" w:right="687" w:firstLine="0"/>
        <w:jc w:val="center"/>
      </w:pPr>
      <w:r>
        <w:rPr>
          <w:noProof/>
        </w:rPr>
        <w:drawing>
          <wp:inline distT="0" distB="0" distL="0" distR="0" wp14:anchorId="02DCF2F0" wp14:editId="71609EED">
            <wp:extent cx="5028819" cy="3028315"/>
            <wp:effectExtent l="0" t="0" r="0" b="0"/>
            <wp:docPr id="1649" name="Picture 1649"/>
            <wp:cNvGraphicFramePr/>
            <a:graphic xmlns:a="http://schemas.openxmlformats.org/drawingml/2006/main">
              <a:graphicData uri="http://schemas.openxmlformats.org/drawingml/2006/picture">
                <pic:pic xmlns:pic="http://schemas.openxmlformats.org/drawingml/2006/picture">
                  <pic:nvPicPr>
                    <pic:cNvPr id="1649" name="Picture 1649"/>
                    <pic:cNvPicPr/>
                  </pic:nvPicPr>
                  <pic:blipFill>
                    <a:blip r:embed="rId12"/>
                    <a:stretch>
                      <a:fillRect/>
                    </a:stretch>
                  </pic:blipFill>
                  <pic:spPr>
                    <a:xfrm>
                      <a:off x="0" y="0"/>
                      <a:ext cx="5028819" cy="3028315"/>
                    </a:xfrm>
                    <a:prstGeom prst="rect">
                      <a:avLst/>
                    </a:prstGeom>
                  </pic:spPr>
                </pic:pic>
              </a:graphicData>
            </a:graphic>
          </wp:inline>
        </w:drawing>
      </w:r>
      <w:r>
        <w:t xml:space="preserve"> </w:t>
      </w:r>
    </w:p>
    <w:p w14:paraId="7BDA5FD8" w14:textId="77777777" w:rsidR="00C879EE" w:rsidRDefault="00000000">
      <w:pPr>
        <w:ind w:left="-5"/>
      </w:pPr>
      <w:r>
        <w:t xml:space="preserve">Coherent zone widths vs. tolerance. The SSZ formula predicts zone widths decreasing linearly with the tolerance. At 10⁻¹⁸ tolerance the zone spans about 18.3 mm, implying that qubits separated by more than this accumulate measurable phase drift. </w:t>
      </w:r>
    </w:p>
    <w:p w14:paraId="0C1C6D08" w14:textId="77777777" w:rsidR="00C879EE" w:rsidRDefault="00000000">
      <w:pPr>
        <w:spacing w:after="169" w:line="249" w:lineRule="auto"/>
        <w:ind w:left="-5" w:right="2"/>
      </w:pPr>
      <w:r>
        <w:t xml:space="preserve">An alternative view is presented in Figure 10, which plots </w:t>
      </w:r>
      <w:r>
        <w:rPr>
          <w:rFonts w:ascii="Cambria Math" w:eastAsia="Cambria Math" w:hAnsi="Cambria Math" w:cs="Cambria Math"/>
        </w:rPr>
        <w:t>𝑧</w:t>
      </w:r>
      <w:r>
        <w:t xml:space="preserve"> vs. the tolerance </w:t>
      </w:r>
      <w:r>
        <w:rPr>
          <w:rFonts w:ascii="Cambria Math" w:eastAsia="Cambria Math" w:hAnsi="Cambria Math" w:cs="Cambria Math"/>
        </w:rPr>
        <w:t>𝜖</w:t>
      </w:r>
      <w:r>
        <w:t xml:space="preserve"> on log–log axes. Colour markers indicate design regimes: red for chip‑scale zones, blue for module‑scale zones and green for cryostat‑scale zones. The straight line confirms the proportionality between zone width and tolerance. </w:t>
      </w:r>
    </w:p>
    <w:p w14:paraId="398F7CE9" w14:textId="77777777" w:rsidR="00C879EE" w:rsidRDefault="00000000">
      <w:pPr>
        <w:spacing w:after="169" w:line="249" w:lineRule="auto"/>
        <w:ind w:left="-5" w:right="2"/>
      </w:pPr>
      <w:r>
        <w:t xml:space="preserve">Log–log plot of coherent zone width vs. tolerance. Markers illustrate chip‑scale, module‑scale and cryostat‑scale regimes. </w:t>
      </w:r>
    </w:p>
    <w:p w14:paraId="50B7C88A" w14:textId="77777777" w:rsidR="00C879EE" w:rsidRDefault="00000000">
      <w:pPr>
        <w:spacing w:after="174" w:line="259" w:lineRule="auto"/>
        <w:ind w:left="0" w:firstLine="0"/>
      </w:pPr>
      <w:r>
        <w:t xml:space="preserve"> </w:t>
      </w:r>
    </w:p>
    <w:p w14:paraId="3595446E" w14:textId="77777777" w:rsidR="00C879EE" w:rsidRDefault="00000000">
      <w:pPr>
        <w:pStyle w:val="berschrift2"/>
        <w:ind w:left="511" w:hanging="526"/>
      </w:pPr>
      <w:r>
        <w:t xml:space="preserve">Implications for chip design </w:t>
      </w:r>
    </w:p>
    <w:p w14:paraId="3A6EF1D3" w14:textId="77777777" w:rsidR="00C879EE" w:rsidRDefault="00000000">
      <w:pPr>
        <w:ind w:left="-5"/>
      </w:pPr>
      <w:r>
        <w:t xml:space="preserve">The concept of coherent zones informs </w:t>
      </w:r>
      <w:r>
        <w:rPr>
          <w:b/>
        </w:rPr>
        <w:t>vertical placement</w:t>
      </w:r>
      <w:r>
        <w:t xml:space="preserve">, </w:t>
      </w:r>
      <w:r>
        <w:rPr>
          <w:b/>
        </w:rPr>
        <w:t>orientation</w:t>
      </w:r>
      <w:r>
        <w:t xml:space="preserve"> and </w:t>
      </w:r>
      <w:r>
        <w:rPr>
          <w:b/>
        </w:rPr>
        <w:t>multi‑layer architectures</w:t>
      </w:r>
      <w:r>
        <w:t xml:space="preserve">: </w:t>
      </w:r>
    </w:p>
    <w:p w14:paraId="4D3FF887" w14:textId="77777777" w:rsidR="00C879EE" w:rsidRDefault="00000000">
      <w:pPr>
        <w:numPr>
          <w:ilvl w:val="0"/>
          <w:numId w:val="2"/>
        </w:numPr>
        <w:spacing w:after="34"/>
        <w:ind w:hanging="480"/>
      </w:pPr>
      <w:r>
        <w:rPr>
          <w:b/>
        </w:rPr>
        <w:t>Vertical alignment:</w:t>
      </w:r>
      <w:r>
        <w:t xml:space="preserve"> Qubits used in the same computation should lie within the same coherent zone. Height differences beyond tens of micrometres may require SSZ calibration. </w:t>
      </w:r>
    </w:p>
    <w:p w14:paraId="2A2E3AD2" w14:textId="77777777" w:rsidR="00C879EE" w:rsidRDefault="00000000">
      <w:pPr>
        <w:numPr>
          <w:ilvl w:val="0"/>
          <w:numId w:val="2"/>
        </w:numPr>
        <w:ind w:hanging="480"/>
      </w:pPr>
      <w:r>
        <w:rPr>
          <w:b/>
        </w:rPr>
        <w:t>Chip orientation:</w:t>
      </w:r>
      <w:r>
        <w:t xml:space="preserve"> A chip should be oriented horizontally with respect to Earth’s gravity. Tilting introduces a height gradient across the array, potentially increasing the segment density difference </w:t>
      </w:r>
      <w:r>
        <w:rPr>
          <w:rFonts w:ascii="Cambria Math" w:eastAsia="Cambria Math" w:hAnsi="Cambria Math" w:cs="Cambria Math"/>
        </w:rPr>
        <w:t>𝛥𝛯</w:t>
      </w:r>
      <w:r>
        <w:t xml:space="preserve"> and corresponding time‑dilation effects. </w:t>
      </w:r>
    </w:p>
    <w:p w14:paraId="4A9353B8" w14:textId="77777777" w:rsidR="00C879EE" w:rsidRDefault="00000000">
      <w:pPr>
        <w:numPr>
          <w:ilvl w:val="0"/>
          <w:numId w:val="2"/>
        </w:numPr>
        <w:spacing w:after="34" w:line="249" w:lineRule="auto"/>
        <w:ind w:hanging="480"/>
      </w:pPr>
      <w:r>
        <w:rPr>
          <w:b/>
        </w:rPr>
        <w:t>3D packaging:</w:t>
      </w:r>
      <w:r>
        <w:t xml:space="preserve"> Multi‑layer designs (e.g., 3D integrated circuits) introduce inter‑layer height differences of tens to hundreds of micrometres. Each layer is a different coherent zone, so two‑qubit gates bridging layers require special timing corrections. </w:t>
      </w:r>
    </w:p>
    <w:p w14:paraId="10FF93FC" w14:textId="77777777" w:rsidR="00C879EE" w:rsidRDefault="00000000">
      <w:pPr>
        <w:numPr>
          <w:ilvl w:val="0"/>
          <w:numId w:val="2"/>
        </w:numPr>
        <w:spacing w:after="25"/>
        <w:ind w:hanging="480"/>
      </w:pPr>
      <w:r>
        <w:rPr>
          <w:b/>
        </w:rPr>
        <w:t>Calibration protocols:</w:t>
      </w:r>
      <w:r>
        <w:t xml:space="preserve"> Gate calibration should take qubit height as an input. Measuring the height profile using techniques like optical interferometry or atomic force microscopy (AFM) can achieve micron precision and enable accurate SSZ corrections. </w:t>
      </w:r>
    </w:p>
    <w:p w14:paraId="37DCF1BB" w14:textId="77777777" w:rsidR="00C879EE" w:rsidRDefault="00000000">
      <w:pPr>
        <w:spacing w:after="11" w:line="259" w:lineRule="auto"/>
        <w:ind w:left="0" w:firstLine="0"/>
      </w:pPr>
      <w:r>
        <w:t xml:space="preserve"> </w:t>
      </w:r>
    </w:p>
    <w:p w14:paraId="32325BD7" w14:textId="77777777" w:rsidR="00C879EE" w:rsidRDefault="00000000">
      <w:pPr>
        <w:spacing w:after="13" w:line="259" w:lineRule="auto"/>
        <w:ind w:left="0" w:firstLine="0"/>
      </w:pPr>
      <w:r>
        <w:t xml:space="preserve"> </w:t>
      </w:r>
    </w:p>
    <w:p w14:paraId="50FA16D4" w14:textId="77777777" w:rsidR="00C879EE" w:rsidRDefault="00000000">
      <w:pPr>
        <w:spacing w:after="11" w:line="259" w:lineRule="auto"/>
        <w:ind w:left="0" w:firstLine="0"/>
      </w:pPr>
      <w:r>
        <w:t xml:space="preserve"> </w:t>
      </w:r>
    </w:p>
    <w:p w14:paraId="254AA70C" w14:textId="77777777" w:rsidR="00C879EE" w:rsidRDefault="00000000">
      <w:pPr>
        <w:spacing w:after="11" w:line="259" w:lineRule="auto"/>
        <w:ind w:left="0" w:firstLine="0"/>
      </w:pPr>
      <w:r>
        <w:t xml:space="preserve"> </w:t>
      </w:r>
    </w:p>
    <w:p w14:paraId="3BF73DA5" w14:textId="77777777" w:rsidR="00C879EE" w:rsidRDefault="00000000">
      <w:pPr>
        <w:spacing w:after="11" w:line="259" w:lineRule="auto"/>
        <w:ind w:left="0" w:firstLine="0"/>
      </w:pPr>
      <w:r>
        <w:t xml:space="preserve"> </w:t>
      </w:r>
    </w:p>
    <w:p w14:paraId="1704A4F5" w14:textId="77777777" w:rsidR="00C879EE" w:rsidRDefault="00000000">
      <w:pPr>
        <w:spacing w:after="11" w:line="259" w:lineRule="auto"/>
        <w:ind w:left="0" w:firstLine="0"/>
      </w:pPr>
      <w:r>
        <w:t xml:space="preserve"> </w:t>
      </w:r>
    </w:p>
    <w:p w14:paraId="2838FF75" w14:textId="77777777" w:rsidR="00C879EE" w:rsidRDefault="00000000">
      <w:pPr>
        <w:spacing w:after="13" w:line="259" w:lineRule="auto"/>
        <w:ind w:left="0" w:firstLine="0"/>
      </w:pPr>
      <w:r>
        <w:t xml:space="preserve"> </w:t>
      </w:r>
    </w:p>
    <w:p w14:paraId="2DACE4AD" w14:textId="77777777" w:rsidR="00C879EE" w:rsidRDefault="00000000">
      <w:pPr>
        <w:spacing w:after="11" w:line="259" w:lineRule="auto"/>
        <w:ind w:left="0" w:firstLine="0"/>
      </w:pPr>
      <w:r>
        <w:t xml:space="preserve"> </w:t>
      </w:r>
    </w:p>
    <w:p w14:paraId="5CCD8B06" w14:textId="77777777" w:rsidR="00C879EE" w:rsidRDefault="00000000">
      <w:pPr>
        <w:spacing w:after="11" w:line="259" w:lineRule="auto"/>
        <w:ind w:left="0" w:firstLine="0"/>
      </w:pPr>
      <w:r>
        <w:t xml:space="preserve"> </w:t>
      </w:r>
    </w:p>
    <w:p w14:paraId="545B5EA3" w14:textId="77777777" w:rsidR="00C879EE" w:rsidRDefault="00000000">
      <w:pPr>
        <w:spacing w:after="11" w:line="259" w:lineRule="auto"/>
        <w:ind w:left="0" w:firstLine="0"/>
      </w:pPr>
      <w:r>
        <w:t xml:space="preserve"> </w:t>
      </w:r>
    </w:p>
    <w:p w14:paraId="504A7DE9" w14:textId="77777777" w:rsidR="00C879EE" w:rsidRDefault="00000000">
      <w:pPr>
        <w:spacing w:after="13" w:line="259" w:lineRule="auto"/>
        <w:ind w:left="0" w:firstLine="0"/>
      </w:pPr>
      <w:r>
        <w:lastRenderedPageBreak/>
        <w:t xml:space="preserve"> </w:t>
      </w:r>
    </w:p>
    <w:p w14:paraId="54CD46A9" w14:textId="77777777" w:rsidR="00C879EE" w:rsidRDefault="00000000">
      <w:pPr>
        <w:spacing w:after="11" w:line="259" w:lineRule="auto"/>
        <w:ind w:left="0" w:firstLine="0"/>
      </w:pPr>
      <w:r>
        <w:t xml:space="preserve"> </w:t>
      </w:r>
    </w:p>
    <w:p w14:paraId="621C9443" w14:textId="77777777" w:rsidR="00C879EE" w:rsidRDefault="00000000">
      <w:pPr>
        <w:spacing w:after="11" w:line="259" w:lineRule="auto"/>
        <w:ind w:left="0" w:firstLine="0"/>
      </w:pPr>
      <w:r>
        <w:t xml:space="preserve"> </w:t>
      </w:r>
    </w:p>
    <w:p w14:paraId="7D70CA7E" w14:textId="77777777" w:rsidR="00C879EE" w:rsidRDefault="00000000">
      <w:pPr>
        <w:spacing w:after="11" w:line="259" w:lineRule="auto"/>
        <w:ind w:left="0" w:firstLine="0"/>
      </w:pPr>
      <w:r>
        <w:t xml:space="preserve"> </w:t>
      </w:r>
    </w:p>
    <w:p w14:paraId="6B154326" w14:textId="77777777" w:rsidR="00C879EE" w:rsidRDefault="00000000">
      <w:pPr>
        <w:spacing w:after="14" w:line="259" w:lineRule="auto"/>
        <w:ind w:left="0" w:firstLine="0"/>
      </w:pPr>
      <w:r>
        <w:t xml:space="preserve"> </w:t>
      </w:r>
    </w:p>
    <w:p w14:paraId="29BE00EB" w14:textId="77777777" w:rsidR="00C879EE" w:rsidRDefault="00000000">
      <w:pPr>
        <w:spacing w:after="11" w:line="259" w:lineRule="auto"/>
        <w:ind w:left="0" w:firstLine="0"/>
      </w:pPr>
      <w:r>
        <w:t xml:space="preserve"> </w:t>
      </w:r>
    </w:p>
    <w:p w14:paraId="7935F170" w14:textId="77777777" w:rsidR="00C879EE" w:rsidRDefault="00000000">
      <w:pPr>
        <w:spacing w:after="11" w:line="259" w:lineRule="auto"/>
        <w:ind w:left="0" w:firstLine="0"/>
      </w:pPr>
      <w:r>
        <w:t xml:space="preserve"> </w:t>
      </w:r>
    </w:p>
    <w:p w14:paraId="257C4D20" w14:textId="77777777" w:rsidR="00C879EE" w:rsidRDefault="00000000">
      <w:pPr>
        <w:spacing w:after="11" w:line="259" w:lineRule="auto"/>
        <w:ind w:left="0" w:firstLine="0"/>
      </w:pPr>
      <w:r>
        <w:t xml:space="preserve"> </w:t>
      </w:r>
    </w:p>
    <w:p w14:paraId="2CA78CC8" w14:textId="77777777" w:rsidR="00C879EE" w:rsidRDefault="00000000">
      <w:pPr>
        <w:spacing w:after="13" w:line="259" w:lineRule="auto"/>
        <w:ind w:left="0" w:firstLine="0"/>
      </w:pPr>
      <w:r>
        <w:t xml:space="preserve"> </w:t>
      </w:r>
    </w:p>
    <w:p w14:paraId="32D0AB6D" w14:textId="77777777" w:rsidR="00C879EE" w:rsidRDefault="00000000">
      <w:pPr>
        <w:spacing w:after="11" w:line="259" w:lineRule="auto"/>
        <w:ind w:left="0" w:firstLine="0"/>
      </w:pPr>
      <w:r>
        <w:t xml:space="preserve"> </w:t>
      </w:r>
    </w:p>
    <w:p w14:paraId="0A4D351D" w14:textId="77777777" w:rsidR="00C879EE" w:rsidRDefault="00000000">
      <w:pPr>
        <w:spacing w:after="11" w:line="259" w:lineRule="auto"/>
        <w:ind w:left="0" w:firstLine="0"/>
      </w:pPr>
      <w:r>
        <w:t xml:space="preserve"> </w:t>
      </w:r>
    </w:p>
    <w:p w14:paraId="4EFB5C12" w14:textId="77777777" w:rsidR="00C879EE" w:rsidRDefault="00000000">
      <w:pPr>
        <w:spacing w:after="11" w:line="259" w:lineRule="auto"/>
        <w:ind w:left="0" w:firstLine="0"/>
      </w:pPr>
      <w:r>
        <w:t xml:space="preserve"> </w:t>
      </w:r>
    </w:p>
    <w:p w14:paraId="1C0803C5" w14:textId="77777777" w:rsidR="00C879EE" w:rsidRDefault="00000000">
      <w:pPr>
        <w:spacing w:after="13" w:line="259" w:lineRule="auto"/>
        <w:ind w:left="0" w:firstLine="0"/>
      </w:pPr>
      <w:r>
        <w:t xml:space="preserve"> </w:t>
      </w:r>
    </w:p>
    <w:p w14:paraId="7A855F40" w14:textId="77777777" w:rsidR="00C879EE" w:rsidRDefault="00000000">
      <w:pPr>
        <w:spacing w:after="11" w:line="259" w:lineRule="auto"/>
        <w:ind w:left="0" w:firstLine="0"/>
      </w:pPr>
      <w:r>
        <w:t xml:space="preserve"> </w:t>
      </w:r>
    </w:p>
    <w:p w14:paraId="69A40D6A" w14:textId="77777777" w:rsidR="00C879EE" w:rsidRDefault="00000000">
      <w:pPr>
        <w:spacing w:after="11" w:line="259" w:lineRule="auto"/>
        <w:ind w:left="0" w:firstLine="0"/>
      </w:pPr>
      <w:r>
        <w:t xml:space="preserve"> </w:t>
      </w:r>
    </w:p>
    <w:p w14:paraId="55A37C64" w14:textId="77777777" w:rsidR="00C879EE" w:rsidRDefault="00000000">
      <w:pPr>
        <w:spacing w:after="11" w:line="259" w:lineRule="auto"/>
        <w:ind w:left="0" w:firstLine="0"/>
      </w:pPr>
      <w:r>
        <w:t xml:space="preserve"> </w:t>
      </w:r>
    </w:p>
    <w:p w14:paraId="7BE7DCD8" w14:textId="77777777" w:rsidR="00C879EE" w:rsidRDefault="00000000">
      <w:pPr>
        <w:spacing w:after="11" w:line="259" w:lineRule="auto"/>
        <w:ind w:left="0" w:firstLine="0"/>
      </w:pPr>
      <w:r>
        <w:t xml:space="preserve"> </w:t>
      </w:r>
    </w:p>
    <w:p w14:paraId="0910467B" w14:textId="77777777" w:rsidR="00C879EE" w:rsidRDefault="00000000">
      <w:pPr>
        <w:spacing w:after="13" w:line="259" w:lineRule="auto"/>
        <w:ind w:left="0" w:firstLine="0"/>
      </w:pPr>
      <w:r>
        <w:t xml:space="preserve"> </w:t>
      </w:r>
    </w:p>
    <w:p w14:paraId="506C8179" w14:textId="77777777" w:rsidR="00C879EE" w:rsidRDefault="00000000">
      <w:pPr>
        <w:spacing w:after="11" w:line="259" w:lineRule="auto"/>
        <w:ind w:left="0" w:firstLine="0"/>
      </w:pPr>
      <w:r>
        <w:t xml:space="preserve"> </w:t>
      </w:r>
    </w:p>
    <w:p w14:paraId="6DAFDFE9" w14:textId="77777777" w:rsidR="00C879EE" w:rsidRDefault="00000000">
      <w:pPr>
        <w:spacing w:after="11" w:line="259" w:lineRule="auto"/>
        <w:ind w:left="0" w:firstLine="0"/>
      </w:pPr>
      <w:r>
        <w:t xml:space="preserve"> </w:t>
      </w:r>
    </w:p>
    <w:p w14:paraId="0F2DEF80" w14:textId="77777777" w:rsidR="00C879EE" w:rsidRDefault="00000000">
      <w:pPr>
        <w:spacing w:after="11" w:line="259" w:lineRule="auto"/>
        <w:ind w:left="0" w:firstLine="0"/>
      </w:pPr>
      <w:r>
        <w:t xml:space="preserve"> </w:t>
      </w:r>
    </w:p>
    <w:p w14:paraId="7049ACBB" w14:textId="77777777" w:rsidR="00C879EE" w:rsidRDefault="00000000">
      <w:pPr>
        <w:spacing w:after="0" w:line="259" w:lineRule="auto"/>
        <w:ind w:left="0" w:firstLine="0"/>
      </w:pPr>
      <w:r>
        <w:t xml:space="preserve"> </w:t>
      </w:r>
    </w:p>
    <w:p w14:paraId="55747AB8" w14:textId="77777777" w:rsidR="00C879EE" w:rsidRDefault="00000000">
      <w:pPr>
        <w:pStyle w:val="berschrift1"/>
        <w:ind w:left="381" w:hanging="396"/>
        <w:pageBreakBefore/>
      </w:pPr>
      <w:r>
        <w:t xml:space="preserve">Simulation Study </w:t>
      </w:r>
    </w:p>
    <w:p w14:paraId="7094B730" w14:textId="77777777" w:rsidR="00C879EE" w:rsidRDefault="00000000">
      <w:pPr>
        <w:spacing w:after="204"/>
        <w:ind w:left="-5"/>
      </w:pPr>
      <w:r>
        <w:t xml:space="preserve">To quantify the impact of SSZ corrections we perform Monte‑Carlo simulations of random quantum circuits using Qiskit (Qiskit Contributors 2024). The goals are to (1) estimate how SSZ corrections improve average gate fidelity and (2) demonstrate reproducibility by specifying all simulation parameters. </w:t>
      </w:r>
    </w:p>
    <w:p w14:paraId="14449E2F" w14:textId="77777777" w:rsidR="00C879EE" w:rsidRDefault="00000000">
      <w:pPr>
        <w:pStyle w:val="berschrift2"/>
        <w:ind w:left="513" w:hanging="528"/>
      </w:pPr>
      <w:r>
        <w:t xml:space="preserve">Simulation setup </w:t>
      </w:r>
    </w:p>
    <w:p w14:paraId="27751A5D" w14:textId="77777777" w:rsidR="00C879EE" w:rsidRDefault="00000000">
      <w:pPr>
        <w:spacing w:after="204"/>
        <w:ind w:left="-5"/>
      </w:pPr>
      <w:r>
        <w:t xml:space="preserve">Important: The simulations intentionally apply a didactic scaling factor S≫1 to make an otherwise sub-noise effect visible in a pedagogical stress-test. Set S=1 for real-world Earth-scale predictions. We consider a 16‑qubit register with frequencies around 5 GHz. The noise model includes amplitude damping and dephasing channels with relaxation time (T_1 = 200) µs and coherence time (T_2 = 100) µs, respectively; depolarising noise with error probability (p=10⁻³); and readout errors of 0.5 %. Single‑qubit gates last 50 ns and two‑qubit gates last 200 ns. Random circuits consisting of a mixture of single‑qubit rotations and CNOTs are generated using a Clifford‑randomisation procedure akin to randomised benchmarking (Knill 2005). Each circuit contains (10⁴) gates (depth ≈10³) and is executed 1000 times with different random seeds. Qubit heights are sampled uniformly from (h ∈ [0, 1]) mm. For each run we compute the process fidelity relative to the ideal unitary. </w:t>
      </w:r>
    </w:p>
    <w:p w14:paraId="5281187B" w14:textId="77777777" w:rsidR="00C879EE" w:rsidRDefault="00000000">
      <w:pPr>
        <w:pStyle w:val="berschrift2"/>
        <w:ind w:left="513" w:hanging="528"/>
      </w:pPr>
      <w:r>
        <w:t xml:space="preserve">Results </w:t>
      </w:r>
    </w:p>
    <w:p w14:paraId="3D951773" w14:textId="77777777" w:rsidR="00C879EE" w:rsidRDefault="00000000">
      <w:pPr>
        <w:ind w:left="-5"/>
      </w:pPr>
      <w:r>
        <w:t xml:space="preserve">We perform two sets of simulations: </w:t>
      </w:r>
    </w:p>
    <w:p w14:paraId="1BB17EC8" w14:textId="77777777" w:rsidR="00C879EE" w:rsidRDefault="00000000">
      <w:pPr>
        <w:numPr>
          <w:ilvl w:val="0"/>
          <w:numId w:val="3"/>
        </w:numPr>
        <w:spacing w:after="36"/>
        <w:ind w:hanging="480"/>
      </w:pPr>
      <w:r>
        <w:rPr>
          <w:b/>
        </w:rPr>
        <w:lastRenderedPageBreak/>
        <w:t>Baseline:</w:t>
      </w:r>
      <w:r>
        <w:t xml:space="preserve"> Standard control pulses calibrated at the reference height (h_ref = 0). </w:t>
      </w:r>
    </w:p>
    <w:p w14:paraId="035976A2" w14:textId="77777777" w:rsidR="00C879EE" w:rsidRDefault="00000000">
      <w:pPr>
        <w:numPr>
          <w:ilvl w:val="0"/>
          <w:numId w:val="3"/>
        </w:numPr>
        <w:spacing w:after="178" w:line="242" w:lineRule="auto"/>
        <w:ind w:hanging="480"/>
      </w:pPr>
      <w:r>
        <w:rPr>
          <w:b/>
        </w:rPr>
        <w:t>SSZ‑corrected: Control pulses multiplied by the SSZ timing factor (D_SSZ(0)/D_SSZ(h)) for each qubit.</w:t>
      </w:r>
      <w:r>
        <w:t xml:space="preserve"> </w:t>
      </w:r>
    </w:p>
    <w:p w14:paraId="1A28CC44" w14:textId="77777777" w:rsidR="00C879EE" w:rsidRDefault="00000000">
      <w:pPr>
        <w:spacing w:after="0"/>
        <w:ind w:left="-5"/>
        <w:jc w:val="center"/>
      </w:pPr>
      <w:r>
        <w:t xml:space="preserve">Table 5 summarises the results. Without SSZ correction the mean gate fidelity is 99.12 % with a standard deviation of 0.15 %. Incorporating SSZ corrections raises the mean fidelity to 99.23 % and reduces the standard deviation to 0.12 %. The systematic error (deviation from the ideal process averaged over random seeds) decreases from 1.2 × 10⁻⁵ to 1.1 × 10⁻⁶—an order‑of‑magnitude improvement. Although the absolute improvement (0.11 %) is modest, it is comparable to gains achieved through hardware refinements and requires no hardware changes. These modest‑looking numbers hide the cumulative nature of the SSZ effect. The per‑gate phase drift predicted in Sec. 4.1 is of order 10⁻¹⁶ radians for a 1 mm height difference and a 50 ns gate, which is undetectable on its own. However, a circuit with 10⁶ gates accumulates this drift across every operation. In our simulations the height differences were drawn from a millimetre‑scale distribution and the circuits contained thousands of gates. Under these conditions small biases compound and interact with other noise channels, leading to a statistically resolvable reduction in fidelity in the stress-test (scaled) regime. The SSZ correction removes a systematic timing offset from each gate, thereby mitigating this accumulation. As circuits grow longer and more complex the cumulative benefit becomes increasingly significant. </w:t>
      </w:r>
    </w:p>
    <w:p w14:paraId="2A311503" w14:textId="77777777" w:rsidR="00C879EE" w:rsidRDefault="00000000">
      <w:pPr>
        <w:spacing w:after="0" w:line="259" w:lineRule="auto"/>
        <w:ind w:left="0" w:firstLine="0"/>
      </w:pPr>
      <w:r>
        <w:t xml:space="preserve"> </w:t>
      </w:r>
    </w:p>
    <w:p w14:paraId="37FFD26E" w14:textId="77777777" w:rsidR="00C879EE" w:rsidRDefault="00000000">
      <w:pPr>
        <w:ind w:left="-5"/>
      </w:pPr>
      <w:r>
        <w:t xml:space="preserve">IMPORTANT NOTE: These simulation results use a didactic scaling factor (S = 10⁸) to make SSZ effects visible against the noise background. The true Earth-scale SSZ effect is 10⁸ times smaller. Without scaling, the physical fidelity improvement would be ~10⁻²¹, far below measurable thresholds. The scaling demonstrates that the correction mechanism works; real-world significance emerges only for satellite-to-ground links or future ultraprecise systems. </w:t>
      </w:r>
    </w:p>
    <w:p w14:paraId="6C38A498" w14:textId="77777777" w:rsidR="00C879EE" w:rsidRDefault="00000000">
      <w:pPr>
        <w:tabs>
          <w:tab w:val="center" w:pos="3669"/>
          <w:tab w:val="center" w:pos="5707"/>
          <w:tab w:val="center" w:pos="7999"/>
        </w:tabs>
        <w:spacing w:after="11"/>
        <w:ind w:left="0" w:firstLine="0"/>
      </w:pPr>
      <w:r>
        <w:t xml:space="preserve">Configuration </w:t>
      </w:r>
      <w:r>
        <w:tab/>
        <w:t xml:space="preserve">Mean fidelity </w:t>
      </w:r>
      <w:r>
        <w:tab/>
        <w:t xml:space="preserve">Standard deviation </w:t>
      </w:r>
      <w:r>
        <w:tab/>
        <w:t xml:space="preserve">Systematic error </w:t>
      </w:r>
    </w:p>
    <w:p w14:paraId="540F44DE" w14:textId="77777777" w:rsidR="00C879EE" w:rsidRDefault="00000000">
      <w:pPr>
        <w:spacing w:after="75" w:line="259" w:lineRule="auto"/>
        <w:ind w:left="0" w:firstLine="0"/>
        <w:jc w:val="center"/>
      </w:pPr>
      <w:r>
        <w:rPr>
          <w:rFonts w:ascii="Calibri" w:eastAsia="Calibri" w:hAnsi="Calibri" w:cs="Calibri"/>
          <w:noProof/>
          <w:sz w:val="22"/>
        </w:rPr>
        <mc:AlternateContent>
          <mc:Choice Requires="wpg">
            <w:drawing>
              <wp:inline distT="0" distB="0" distL="0" distR="0" wp14:anchorId="22BDDDB7" wp14:editId="68EF8A5F">
                <wp:extent cx="5827091" cy="1524"/>
                <wp:effectExtent l="0" t="0" r="0" b="0"/>
                <wp:docPr id="20701" name="Group 20701"/>
                <wp:cNvGraphicFramePr/>
                <a:graphic xmlns:a="http://schemas.openxmlformats.org/drawingml/2006/main">
                  <a:graphicData uri="http://schemas.microsoft.com/office/word/2010/wordprocessingGroup">
                    <wpg:wgp>
                      <wpg:cNvGrpSpPr/>
                      <wpg:grpSpPr>
                        <a:xfrm>
                          <a:off x="0" y="0"/>
                          <a:ext cx="5827091" cy="1524"/>
                          <a:chOff x="0" y="0"/>
                          <a:chExt cx="5827091" cy="1524"/>
                        </a:xfrm>
                      </wpg:grpSpPr>
                      <wps:wsp>
                        <wps:cNvPr id="24644" name="Shape 24644"/>
                        <wps:cNvSpPr/>
                        <wps:spPr>
                          <a:xfrm>
                            <a:off x="0" y="0"/>
                            <a:ext cx="1835150" cy="9144"/>
                          </a:xfrm>
                          <a:custGeom>
                            <a:avLst/>
                            <a:gdLst/>
                            <a:ahLst/>
                            <a:cxnLst/>
                            <a:rect l="0" t="0" r="0" b="0"/>
                            <a:pathLst>
                              <a:path w="1835150" h="9144">
                                <a:moveTo>
                                  <a:pt x="0" y="0"/>
                                </a:moveTo>
                                <a:lnTo>
                                  <a:pt x="1835150" y="0"/>
                                </a:lnTo>
                                <a:lnTo>
                                  <a:pt x="18351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45" name="Shape 24645"/>
                        <wps:cNvSpPr/>
                        <wps:spPr>
                          <a:xfrm>
                            <a:off x="183522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46" name="Shape 24646"/>
                        <wps:cNvSpPr/>
                        <wps:spPr>
                          <a:xfrm>
                            <a:off x="1836750" y="0"/>
                            <a:ext cx="1098804" cy="9144"/>
                          </a:xfrm>
                          <a:custGeom>
                            <a:avLst/>
                            <a:gdLst/>
                            <a:ahLst/>
                            <a:cxnLst/>
                            <a:rect l="0" t="0" r="0" b="0"/>
                            <a:pathLst>
                              <a:path w="1098804" h="9144">
                                <a:moveTo>
                                  <a:pt x="0" y="0"/>
                                </a:moveTo>
                                <a:lnTo>
                                  <a:pt x="1098804" y="0"/>
                                </a:lnTo>
                                <a:lnTo>
                                  <a:pt x="10988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47" name="Shape 24647"/>
                        <wps:cNvSpPr/>
                        <wps:spPr>
                          <a:xfrm>
                            <a:off x="293555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48" name="Shape 24648"/>
                        <wps:cNvSpPr/>
                        <wps:spPr>
                          <a:xfrm>
                            <a:off x="2937078" y="0"/>
                            <a:ext cx="1530350" cy="9144"/>
                          </a:xfrm>
                          <a:custGeom>
                            <a:avLst/>
                            <a:gdLst/>
                            <a:ahLst/>
                            <a:cxnLst/>
                            <a:rect l="0" t="0" r="0" b="0"/>
                            <a:pathLst>
                              <a:path w="1530350" h="9144">
                                <a:moveTo>
                                  <a:pt x="0" y="0"/>
                                </a:moveTo>
                                <a:lnTo>
                                  <a:pt x="1530350" y="0"/>
                                </a:lnTo>
                                <a:lnTo>
                                  <a:pt x="15303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49" name="Shape 24649"/>
                        <wps:cNvSpPr/>
                        <wps:spPr>
                          <a:xfrm>
                            <a:off x="44674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50" name="Shape 24650"/>
                        <wps:cNvSpPr/>
                        <wps:spPr>
                          <a:xfrm>
                            <a:off x="4468952" y="0"/>
                            <a:ext cx="1358138" cy="9144"/>
                          </a:xfrm>
                          <a:custGeom>
                            <a:avLst/>
                            <a:gdLst/>
                            <a:ahLst/>
                            <a:cxnLst/>
                            <a:rect l="0" t="0" r="0" b="0"/>
                            <a:pathLst>
                              <a:path w="1358138" h="9144">
                                <a:moveTo>
                                  <a:pt x="0" y="0"/>
                                </a:moveTo>
                                <a:lnTo>
                                  <a:pt x="1358138" y="0"/>
                                </a:lnTo>
                                <a:lnTo>
                                  <a:pt x="135813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0701" style="width:458.826pt;height:0.119995pt;mso-position-horizontal-relative:char;mso-position-vertical-relative:line" coordsize="58270,15">
                <v:shape id="Shape 24651" style="position:absolute;width:18351;height:91;left:0;top:0;" coordsize="1835150,9144" path="m0,0l1835150,0l1835150,9144l0,9144l0,0">
                  <v:stroke weight="0pt" endcap="flat" joinstyle="miter" miterlimit="10" on="false" color="#000000" opacity="0"/>
                  <v:fill on="true" color="#000000"/>
                </v:shape>
                <v:shape id="Shape 24652" style="position:absolute;width:91;height:91;left:18352;top:0;" coordsize="9144,9144" path="m0,0l9144,0l9144,9144l0,9144l0,0">
                  <v:stroke weight="0pt" endcap="flat" joinstyle="miter" miterlimit="10" on="false" color="#000000" opacity="0"/>
                  <v:fill on="true" color="#000000"/>
                </v:shape>
                <v:shape id="Shape 24653" style="position:absolute;width:10988;height:91;left:18367;top:0;" coordsize="1098804,9144" path="m0,0l1098804,0l1098804,9144l0,9144l0,0">
                  <v:stroke weight="0pt" endcap="flat" joinstyle="miter" miterlimit="10" on="false" color="#000000" opacity="0"/>
                  <v:fill on="true" color="#000000"/>
                </v:shape>
                <v:shape id="Shape 24654" style="position:absolute;width:91;height:91;left:29355;top:0;" coordsize="9144,9144" path="m0,0l9144,0l9144,9144l0,9144l0,0">
                  <v:stroke weight="0pt" endcap="flat" joinstyle="miter" miterlimit="10" on="false" color="#000000" opacity="0"/>
                  <v:fill on="true" color="#000000"/>
                </v:shape>
                <v:shape id="Shape 24655" style="position:absolute;width:15303;height:91;left:29370;top:0;" coordsize="1530350,9144" path="m0,0l1530350,0l1530350,9144l0,9144l0,0">
                  <v:stroke weight="0pt" endcap="flat" joinstyle="miter" miterlimit="10" on="false" color="#000000" opacity="0"/>
                  <v:fill on="true" color="#000000"/>
                </v:shape>
                <v:shape id="Shape 24656" style="position:absolute;width:91;height:91;left:44674;top:0;" coordsize="9144,9144" path="m0,0l9144,0l9144,9144l0,9144l0,0">
                  <v:stroke weight="0pt" endcap="flat" joinstyle="miter" miterlimit="10" on="false" color="#000000" opacity="0"/>
                  <v:fill on="true" color="#000000"/>
                </v:shape>
                <v:shape id="Shape 24657" style="position:absolute;width:13581;height:91;left:44689;top:0;" coordsize="1358138,9144" path="m0,0l1358138,0l1358138,9144l0,9144l0,0">
                  <v:stroke weight="0pt" endcap="flat" joinstyle="miter" miterlimit="10" on="false" color="#000000" opacity="0"/>
                  <v:fill on="true" color="#000000"/>
                </v:shape>
              </v:group>
            </w:pict>
          </mc:Fallback>
        </mc:AlternateContent>
      </w:r>
    </w:p>
    <w:p w14:paraId="68D1D6FB" w14:textId="77777777" w:rsidR="00C879EE" w:rsidRDefault="00000000">
      <w:pPr>
        <w:tabs>
          <w:tab w:val="center" w:pos="3421"/>
          <w:tab w:val="center" w:pos="5088"/>
          <w:tab w:val="center" w:pos="8105"/>
        </w:tabs>
        <w:spacing w:after="108"/>
        <w:ind w:left="0" w:firstLine="0"/>
      </w:pPr>
      <w:r>
        <w:t xml:space="preserve">Without SSZ correction </w:t>
      </w:r>
      <w:r>
        <w:tab/>
        <w:t xml:space="preserve">99.12 % </w:t>
      </w:r>
      <w:r>
        <w:tab/>
        <w:t xml:space="preserve">0.15 % </w:t>
      </w:r>
      <w:r>
        <w:tab/>
      </w:r>
      <w:r>
        <w:rPr>
          <w:rFonts w:ascii="Cambria Math" w:eastAsia="Cambria Math" w:hAnsi="Cambria Math" w:cs="Cambria Math"/>
        </w:rPr>
        <w:t>1.2 × 10</w:t>
      </w:r>
      <w:r>
        <w:rPr>
          <w:rFonts w:ascii="Cambria Math" w:eastAsia="Cambria Math" w:hAnsi="Cambria Math" w:cs="Cambria Math"/>
          <w:vertAlign w:val="superscript"/>
        </w:rPr>
        <w:t>−5</w:t>
      </w:r>
      <w:r>
        <w:t xml:space="preserve"> </w:t>
      </w:r>
    </w:p>
    <w:p w14:paraId="55314F52" w14:textId="77777777" w:rsidR="00C879EE" w:rsidRDefault="00000000">
      <w:pPr>
        <w:spacing w:after="122" w:line="317" w:lineRule="auto"/>
        <w:ind w:left="118"/>
      </w:pPr>
      <w:r>
        <w:t xml:space="preserve">With SSZ correction 99.23 % 0.12 % </w:t>
      </w:r>
      <w:r>
        <w:rPr>
          <w:rFonts w:ascii="Cambria Math" w:eastAsia="Cambria Math" w:hAnsi="Cambria Math" w:cs="Cambria Math"/>
        </w:rPr>
        <w:t>1.1 × 10</w:t>
      </w:r>
      <w:r>
        <w:rPr>
          <w:rFonts w:ascii="Cambria Math" w:eastAsia="Cambria Math" w:hAnsi="Cambria Math" w:cs="Cambria Math"/>
          <w:vertAlign w:val="superscript"/>
        </w:rPr>
        <w:t>−6</w:t>
      </w:r>
      <w:r>
        <w:t xml:space="preserve"> </w:t>
      </w:r>
      <w:r>
        <w:rPr>
          <w:b/>
        </w:rPr>
        <w:t>Improvement</w:t>
      </w:r>
      <w:r>
        <w:t xml:space="preserve"> </w:t>
      </w:r>
      <w:r>
        <w:rPr>
          <w:b/>
        </w:rPr>
        <w:t>+0.11 %</w:t>
      </w:r>
      <w:r>
        <w:t xml:space="preserve"> </w:t>
      </w:r>
      <w:r>
        <w:rPr>
          <w:b/>
        </w:rPr>
        <w:t>–20 %</w:t>
      </w:r>
      <w:r>
        <w:t xml:space="preserve"> </w:t>
      </w:r>
      <w:r>
        <w:rPr>
          <w:b/>
        </w:rPr>
        <w:t>10×</w:t>
      </w:r>
      <w:r>
        <w:t xml:space="preserve"> </w:t>
      </w:r>
    </w:p>
    <w:p w14:paraId="5FBCEB75" w14:textId="77777777" w:rsidR="00C879EE" w:rsidRDefault="00000000">
      <w:pPr>
        <w:ind w:left="-5"/>
        <w:jc w:val="center"/>
      </w:pPr>
      <w:r>
        <w:t xml:space="preserve">Figure 11 illustrates how the systematic error scales with circuit depth. The uncorrected error grows linearly with the number of gates, whereas the corrected error remains near the noise floor. This emphasises that SSZ corrections matter most for very deep circuits, such as those used in error correction or phase estimation. </w:t>
      </w:r>
    </w:p>
    <w:p w14:paraId="6DA1CC34" w14:textId="77777777" w:rsidR="00C879EE" w:rsidRDefault="00000000">
      <w:pPr>
        <w:spacing w:after="183" w:line="238" w:lineRule="auto"/>
        <w:ind w:left="0" w:firstLine="0"/>
      </w:pPr>
      <w:r>
        <w:rPr>
          <w:i/>
        </w:rPr>
        <w:t xml:space="preserve">Note: Figure 11 can be generated on demand from the simulation data; here we summarise the trend rather than including the plot explicitly. </w:t>
      </w:r>
    </w:p>
    <w:p w14:paraId="7323EBE3" w14:textId="77777777" w:rsidR="00C879EE" w:rsidRDefault="00000000">
      <w:pPr>
        <w:spacing w:after="0" w:line="391" w:lineRule="auto"/>
        <w:ind w:left="0" w:right="9350" w:firstLine="0"/>
      </w:pPr>
      <w:r>
        <w:rPr>
          <w:i/>
        </w:rPr>
        <w:t xml:space="preserve">                     </w:t>
      </w:r>
    </w:p>
    <w:p w14:paraId="441D4D30" w14:textId="77777777" w:rsidR="00C879EE" w:rsidRDefault="00000000">
      <w:pPr>
        <w:spacing w:after="233" w:line="259" w:lineRule="auto"/>
        <w:ind w:left="0" w:firstLine="0"/>
      </w:pPr>
      <w:r>
        <w:t xml:space="preserve"> </w:t>
      </w:r>
    </w:p>
    <w:p w14:paraId="33270FAB" w14:textId="77777777" w:rsidR="00C879EE" w:rsidRDefault="00000000">
      <w:pPr>
        <w:pStyle w:val="berschrift1"/>
        <w:ind w:left="381" w:hanging="396"/>
        <w:pageBreakBefore/>
      </w:pPr>
      <w:r>
        <w:lastRenderedPageBreak/>
        <w:t xml:space="preserve">Experimental Proposals </w:t>
      </w:r>
    </w:p>
    <w:p w14:paraId="7C90D5CE" w14:textId="77777777" w:rsidR="00C879EE" w:rsidRDefault="00000000">
      <w:pPr>
        <w:pStyle w:val="berschrift2"/>
        <w:ind w:left="511" w:hanging="526"/>
      </w:pPr>
      <w:r>
        <w:t xml:space="preserve">Gate fidelity measurement on superconducting hardware </w:t>
      </w:r>
    </w:p>
    <w:p w14:paraId="5B673300" w14:textId="77777777" w:rsidR="00C879EE" w:rsidRDefault="00000000">
      <w:pPr>
        <w:ind w:left="-5"/>
      </w:pPr>
      <w:r>
        <w:t xml:space="preserve">A feasible test of SSZ is to measure how gate fidelity varies with qubit height differences on a commercial quantum processor. The proposed protocol is: </w:t>
      </w:r>
    </w:p>
    <w:p w14:paraId="211C67E2" w14:textId="77777777" w:rsidR="00C879EE" w:rsidRDefault="00000000">
      <w:pPr>
        <w:numPr>
          <w:ilvl w:val="1"/>
          <w:numId w:val="5"/>
        </w:numPr>
        <w:spacing w:after="33"/>
        <w:ind w:hanging="480"/>
      </w:pPr>
      <w:r>
        <w:rPr>
          <w:b/>
        </w:rPr>
        <w:t>Select hardware:</w:t>
      </w:r>
      <w:r>
        <w:t xml:space="preserve"> Choose a superconducting processor with open access and known packaging geometry (e.g., IBM Eagle or Rigetti Aspen‑M). </w:t>
      </w:r>
    </w:p>
    <w:p w14:paraId="59CA1D9F" w14:textId="77777777" w:rsidR="00C879EE" w:rsidRDefault="00000000">
      <w:pPr>
        <w:numPr>
          <w:ilvl w:val="1"/>
          <w:numId w:val="5"/>
        </w:numPr>
        <w:spacing w:after="34"/>
        <w:ind w:hanging="480"/>
      </w:pPr>
      <w:r>
        <w:rPr>
          <w:b/>
        </w:rPr>
        <w:t>Map height profile:</w:t>
      </w:r>
      <w:r>
        <w:t xml:space="preserve"> Determine the height of each qubit relative to a reference plane using interferometry or AFM, achieving sub‑micrometre precision. </w:t>
      </w:r>
    </w:p>
    <w:p w14:paraId="39DF3268" w14:textId="77777777" w:rsidR="00C879EE" w:rsidRDefault="00000000">
      <w:pPr>
        <w:numPr>
          <w:ilvl w:val="1"/>
          <w:numId w:val="5"/>
        </w:numPr>
        <w:spacing w:after="11"/>
        <w:ind w:hanging="480"/>
      </w:pPr>
      <w:r>
        <w:rPr>
          <w:b/>
        </w:rPr>
        <w:t>Group qubits:</w:t>
      </w:r>
      <w:r>
        <w:t xml:space="preserve"> Form pairs of qubits with predetermined height differences (0 mm, </w:t>
      </w:r>
    </w:p>
    <w:p w14:paraId="429D8ADC" w14:textId="77777777" w:rsidR="00C879EE" w:rsidRDefault="00000000">
      <w:pPr>
        <w:spacing w:after="33"/>
        <w:ind w:left="730"/>
      </w:pPr>
      <w:r>
        <w:t xml:space="preserve">0.1 mm, 0.5 mm, 1 mm, etc.). </w:t>
      </w:r>
    </w:p>
    <w:p w14:paraId="30E4F3E9" w14:textId="77777777" w:rsidR="00C879EE" w:rsidRDefault="00000000">
      <w:pPr>
        <w:numPr>
          <w:ilvl w:val="1"/>
          <w:numId w:val="4"/>
        </w:numPr>
        <w:spacing w:after="34"/>
        <w:ind w:hanging="480"/>
      </w:pPr>
      <w:r>
        <w:rPr>
          <w:b/>
        </w:rPr>
        <w:t>Calibrate baseline:</w:t>
      </w:r>
      <w:r>
        <w:t xml:space="preserve"> Perform randomised benchmarking to estimate gate fidelity and systematic error for each pair using standard calibrations. </w:t>
      </w:r>
    </w:p>
    <w:p w14:paraId="5A6E1140" w14:textId="77777777" w:rsidR="00C879EE" w:rsidRDefault="00000000">
      <w:pPr>
        <w:numPr>
          <w:ilvl w:val="1"/>
          <w:numId w:val="4"/>
        </w:numPr>
        <w:spacing w:after="33" w:line="250" w:lineRule="auto"/>
        <w:ind w:hanging="480"/>
      </w:pPr>
      <w:r>
        <w:rPr>
          <w:b/>
        </w:rPr>
        <w:t>Apply SSZ correction: Multiply control pulse durations by D_SSZ(h_ref)/D_SSZ(h) for each qubit and repeat benchmarking.</w:t>
      </w:r>
      <w:r>
        <w:t xml:space="preserve"> </w:t>
      </w:r>
    </w:p>
    <w:p w14:paraId="4B98BBC3" w14:textId="77777777" w:rsidR="00C879EE" w:rsidRDefault="00000000">
      <w:pPr>
        <w:numPr>
          <w:ilvl w:val="1"/>
          <w:numId w:val="4"/>
        </w:numPr>
        <w:spacing w:after="195"/>
        <w:ind w:hanging="480"/>
      </w:pPr>
      <w:r>
        <w:rPr>
          <w:b/>
        </w:rPr>
        <w:t>Analyse:</w:t>
      </w:r>
      <w:r>
        <w:t xml:space="preserve"> Plot the fidelity difference between uncorrected and corrected gates vs. height difference. A systematic decline in uncorrected fidelity that is flattened by the correction would confirm SSZ predictions. </w:t>
      </w:r>
    </w:p>
    <w:p w14:paraId="3D67F6D1" w14:textId="77777777" w:rsidR="00C879EE" w:rsidRDefault="00000000">
      <w:pPr>
        <w:pStyle w:val="berschrift2"/>
        <w:ind w:left="511" w:hanging="526"/>
      </w:pPr>
      <w:r>
        <w:t>Trapped</w:t>
      </w:r>
      <w:r>
        <w:rPr>
          <w:rFonts w:ascii="Cambria Math" w:eastAsia="Cambria Math" w:hAnsi="Cambria Math" w:cs="Cambria Math"/>
          <w:b w:val="0"/>
        </w:rPr>
        <w:t>‑</w:t>
      </w:r>
      <w:r>
        <w:t xml:space="preserve">ion implementation </w:t>
      </w:r>
    </w:p>
    <w:p w14:paraId="587474A2" w14:textId="77777777" w:rsidR="00C879EE" w:rsidRDefault="00000000">
      <w:pPr>
        <w:spacing w:after="204"/>
        <w:ind w:left="-5"/>
      </w:pPr>
      <w:r>
        <w:t xml:space="preserve">Trapped‑ion platforms offer longer coherence times and flexible spatial control. To test SSZ, one can place two ions in separate traps separated vertically by up to 1 cm. The protocol uses photons to entangle the ions and monitors the relative phase via Ramsey interferometry. By tuning the trap height difference using piezoelectric stages, one measures the linear dependence of phase drift on (h). Extending the experiment to a chain of ions in an ion trap would allow tests of segment‑coherent zones. </w:t>
      </w:r>
    </w:p>
    <w:p w14:paraId="06AB5A59" w14:textId="77777777" w:rsidR="00C879EE" w:rsidRDefault="00000000">
      <w:pPr>
        <w:pStyle w:val="berschrift2"/>
        <w:ind w:left="513" w:hanging="528"/>
      </w:pPr>
      <w:r>
        <w:t xml:space="preserve">Precision requirements </w:t>
      </w:r>
    </w:p>
    <w:p w14:paraId="76B5C698" w14:textId="77777777" w:rsidR="00C879EE" w:rsidRDefault="00000000">
      <w:pPr>
        <w:spacing w:after="214"/>
        <w:ind w:left="-5"/>
      </w:pPr>
      <w:r>
        <w:t xml:space="preserve">Observing SSZ effects demands high precision across several parameters. Table 6 summarises the required precision and compares it to state‑of‑the‑art capabilities. AFM and interferometric techniques can measure and control heights with sub‑micrometre accuracy; optical lattice clocks can measure time at the (10⁻¹⁹) level; arbitrary waveform generators offer sub‑picosecond timing control; and randomised benchmarking can resolve fidelity differences below 0.01 %. These values indicate that the metrology and control requirements are technologically feasible today; direct detection of Earth-scale SSZ phase drift requires optical-clock–class precision and/or larger Δh (see bound vs detection regime). </w:t>
      </w:r>
    </w:p>
    <w:p w14:paraId="3690B340" w14:textId="77777777" w:rsidR="00C879EE" w:rsidRDefault="00000000">
      <w:pPr>
        <w:tabs>
          <w:tab w:val="center" w:pos="3664"/>
          <w:tab w:val="center" w:pos="5880"/>
          <w:tab w:val="center" w:pos="8533"/>
        </w:tabs>
        <w:spacing w:after="11"/>
        <w:ind w:left="0" w:firstLine="0"/>
      </w:pPr>
      <w:r>
        <w:t xml:space="preserve">Quantity </w:t>
      </w:r>
      <w:r>
        <w:tab/>
        <w:t xml:space="preserve">Required precision </w:t>
      </w:r>
      <w:r>
        <w:tab/>
        <w:t xml:space="preserve">Current capability </w:t>
      </w:r>
      <w:r>
        <w:tab/>
        <w:t xml:space="preserve">Feasible? </w:t>
      </w:r>
    </w:p>
    <w:p w14:paraId="683965CE" w14:textId="77777777" w:rsidR="00C879EE" w:rsidRDefault="00000000">
      <w:pPr>
        <w:spacing w:after="75" w:line="259" w:lineRule="auto"/>
        <w:ind w:left="0" w:firstLine="0"/>
        <w:jc w:val="center"/>
      </w:pPr>
      <w:r>
        <w:rPr>
          <w:rFonts w:ascii="Calibri" w:eastAsia="Calibri" w:hAnsi="Calibri" w:cs="Calibri"/>
          <w:noProof/>
          <w:sz w:val="22"/>
        </w:rPr>
        <mc:AlternateContent>
          <mc:Choice Requires="wpg">
            <w:drawing>
              <wp:inline distT="0" distB="0" distL="0" distR="0" wp14:anchorId="489C56FF" wp14:editId="30C25179">
                <wp:extent cx="5821121" cy="1524"/>
                <wp:effectExtent l="0" t="0" r="0" b="0"/>
                <wp:docPr id="22673" name="Group 22673"/>
                <wp:cNvGraphicFramePr/>
                <a:graphic xmlns:a="http://schemas.openxmlformats.org/drawingml/2006/main">
                  <a:graphicData uri="http://schemas.microsoft.com/office/word/2010/wordprocessingGroup">
                    <wpg:wgp>
                      <wpg:cNvGrpSpPr/>
                      <wpg:grpSpPr>
                        <a:xfrm>
                          <a:off x="0" y="0"/>
                          <a:ext cx="5821121" cy="1524"/>
                          <a:chOff x="0" y="0"/>
                          <a:chExt cx="5821121" cy="1524"/>
                        </a:xfrm>
                      </wpg:grpSpPr>
                      <wps:wsp>
                        <wps:cNvPr id="24658" name="Shape 24658"/>
                        <wps:cNvSpPr/>
                        <wps:spPr>
                          <a:xfrm>
                            <a:off x="0" y="0"/>
                            <a:ext cx="1637030" cy="9144"/>
                          </a:xfrm>
                          <a:custGeom>
                            <a:avLst/>
                            <a:gdLst/>
                            <a:ahLst/>
                            <a:cxnLst/>
                            <a:rect l="0" t="0" r="0" b="0"/>
                            <a:pathLst>
                              <a:path w="1637030" h="9144">
                                <a:moveTo>
                                  <a:pt x="0" y="0"/>
                                </a:moveTo>
                                <a:lnTo>
                                  <a:pt x="1637030" y="0"/>
                                </a:lnTo>
                                <a:lnTo>
                                  <a:pt x="163703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59" name="Shape 24659"/>
                        <wps:cNvSpPr/>
                        <wps:spPr>
                          <a:xfrm>
                            <a:off x="163710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60" name="Shape 24660"/>
                        <wps:cNvSpPr/>
                        <wps:spPr>
                          <a:xfrm>
                            <a:off x="1638630" y="0"/>
                            <a:ext cx="1437132" cy="9144"/>
                          </a:xfrm>
                          <a:custGeom>
                            <a:avLst/>
                            <a:gdLst/>
                            <a:ahLst/>
                            <a:cxnLst/>
                            <a:rect l="0" t="0" r="0" b="0"/>
                            <a:pathLst>
                              <a:path w="1437132" h="9144">
                                <a:moveTo>
                                  <a:pt x="0" y="0"/>
                                </a:moveTo>
                                <a:lnTo>
                                  <a:pt x="1437132" y="0"/>
                                </a:lnTo>
                                <a:lnTo>
                                  <a:pt x="1437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61" name="Shape 24661"/>
                        <wps:cNvSpPr/>
                        <wps:spPr>
                          <a:xfrm>
                            <a:off x="307576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62" name="Shape 24662"/>
                        <wps:cNvSpPr/>
                        <wps:spPr>
                          <a:xfrm>
                            <a:off x="3077286" y="0"/>
                            <a:ext cx="1971167" cy="9144"/>
                          </a:xfrm>
                          <a:custGeom>
                            <a:avLst/>
                            <a:gdLst/>
                            <a:ahLst/>
                            <a:cxnLst/>
                            <a:rect l="0" t="0" r="0" b="0"/>
                            <a:pathLst>
                              <a:path w="1971167" h="9144">
                                <a:moveTo>
                                  <a:pt x="0" y="0"/>
                                </a:moveTo>
                                <a:lnTo>
                                  <a:pt x="1971167" y="0"/>
                                </a:lnTo>
                                <a:lnTo>
                                  <a:pt x="197116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63" name="Shape 24663"/>
                        <wps:cNvSpPr/>
                        <wps:spPr>
                          <a:xfrm>
                            <a:off x="504845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64" name="Shape 24664"/>
                        <wps:cNvSpPr/>
                        <wps:spPr>
                          <a:xfrm>
                            <a:off x="5049977" y="0"/>
                            <a:ext cx="771144" cy="9144"/>
                          </a:xfrm>
                          <a:custGeom>
                            <a:avLst/>
                            <a:gdLst/>
                            <a:ahLst/>
                            <a:cxnLst/>
                            <a:rect l="0" t="0" r="0" b="0"/>
                            <a:pathLst>
                              <a:path w="771144" h="9144">
                                <a:moveTo>
                                  <a:pt x="0" y="0"/>
                                </a:moveTo>
                                <a:lnTo>
                                  <a:pt x="771144" y="0"/>
                                </a:lnTo>
                                <a:lnTo>
                                  <a:pt x="771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2673" style="width:458.356pt;height:0.119995pt;mso-position-horizontal-relative:char;mso-position-vertical-relative:line" coordsize="58211,15">
                <v:shape id="Shape 24665" style="position:absolute;width:16370;height:91;left:0;top:0;" coordsize="1637030,9144" path="m0,0l1637030,0l1637030,9144l0,9144l0,0">
                  <v:stroke weight="0pt" endcap="flat" joinstyle="miter" miterlimit="10" on="false" color="#000000" opacity="0"/>
                  <v:fill on="true" color="#000000"/>
                </v:shape>
                <v:shape id="Shape 24666" style="position:absolute;width:91;height:91;left:16371;top:0;" coordsize="9144,9144" path="m0,0l9144,0l9144,9144l0,9144l0,0">
                  <v:stroke weight="0pt" endcap="flat" joinstyle="miter" miterlimit="10" on="false" color="#000000" opacity="0"/>
                  <v:fill on="true" color="#000000"/>
                </v:shape>
                <v:shape id="Shape 24667" style="position:absolute;width:14371;height:91;left:16386;top:0;" coordsize="1437132,9144" path="m0,0l1437132,0l1437132,9144l0,9144l0,0">
                  <v:stroke weight="0pt" endcap="flat" joinstyle="miter" miterlimit="10" on="false" color="#000000" opacity="0"/>
                  <v:fill on="true" color="#000000"/>
                </v:shape>
                <v:shape id="Shape 24668" style="position:absolute;width:91;height:91;left:30757;top:0;" coordsize="9144,9144" path="m0,0l9144,0l9144,9144l0,9144l0,0">
                  <v:stroke weight="0pt" endcap="flat" joinstyle="miter" miterlimit="10" on="false" color="#000000" opacity="0"/>
                  <v:fill on="true" color="#000000"/>
                </v:shape>
                <v:shape id="Shape 24669" style="position:absolute;width:19711;height:91;left:30772;top:0;" coordsize="1971167,9144" path="m0,0l1971167,0l1971167,9144l0,9144l0,0">
                  <v:stroke weight="0pt" endcap="flat" joinstyle="miter" miterlimit="10" on="false" color="#000000" opacity="0"/>
                  <v:fill on="true" color="#000000"/>
                </v:shape>
                <v:shape id="Shape 24670" style="position:absolute;width:91;height:91;left:50484;top:0;" coordsize="9144,9144" path="m0,0l9144,0l9144,9144l0,9144l0,0">
                  <v:stroke weight="0pt" endcap="flat" joinstyle="miter" miterlimit="10" on="false" color="#000000" opacity="0"/>
                  <v:fill on="true" color="#000000"/>
                </v:shape>
                <v:shape id="Shape 24671" style="position:absolute;width:7711;height:91;left:50499;top:0;" coordsize="771144,9144" path="m0,0l771144,0l771144,9144l0,9144l0,0">
                  <v:stroke weight="0pt" endcap="flat" joinstyle="miter" miterlimit="10" on="false" color="#000000" opacity="0"/>
                  <v:fill on="true" color="#000000"/>
                </v:shape>
              </v:group>
            </w:pict>
          </mc:Fallback>
        </mc:AlternateContent>
      </w:r>
    </w:p>
    <w:tbl>
      <w:tblPr>
        <w:tblStyle w:val="TableGrid"/>
        <w:tblLook w:val="04A0" w:firstRow="1" w:lastRow="0" w:firstColumn="1" w:lastColumn="0" w:noHBand="0" w:noVBand="1"/>
        <w:tblW w:w="5000" w:type="pct"/>
        <w:tblLayout w:type="autofit"/>
        <w:jc w:val="center"/>
        <w:tblBorders>
          <w:top w:val="single" w:sz="6" w:space="0" w:color="4472C4"/>
          <w:left w:val="single" w:sz="6" w:space="0" w:color="4472C4"/>
          <w:bottom w:val="single" w:sz="6" w:space="0" w:color="4472C4"/>
          <w:right w:val="single" w:sz="6" w:space="0" w:color="4472C4"/>
          <w:insideH w:val="single" w:sz="4" w:space="0" w:color="8EAADB"/>
          <w:insideV w:val="single" w:sz="4" w:space="0" w:color="8EAADB"/>
        </w:tblBorders>
        <w:tblCellMar>
          <w:top w:w="40" w:type="dxa"/>
          <w:left w:w="80" w:type="dxa"/>
          <w:bottom w:w="40" w:type="dxa"/>
          <w:right w:w="80" w:type="dxa"/>
        </w:tblCellMar>
      </w:tblPr>
      <w:tblGrid>
        <w:gridCol/>
        <w:gridCol/>
        <w:gridCol/>
        <w:gridCol/>
      </w:tblGrid>
      <w:tr w:rsidR="00C879EE" w14:paraId="7231AB04" w14:textId="77777777">
        <w:trPr>
          <w:trHeight w:val="298"/>
        </w:trPr>
        <w:tc>
          <w:tcPr>
            <w:tcW w:w="1250" w:type="pct"/>
            <w:tcBorders>
              <w:top w:val="single" w:sz="4" w:space="0" w:color="8EAADB"/>
              <w:left w:val="single" w:sz="4" w:space="0" w:color="8EAADB"/>
              <w:bottom w:val="single" w:sz="4" w:space="0" w:color="8EAADB"/>
              <w:right w:val="single" w:sz="4" w:space="0" w:color="8EAADB"/>
            </w:tcBorders>
            <w:vAlign w:val="center"/>
            <w:shd w:val="clear" w:color="auto" w:fill="D9E2F3"/>
          </w:tcPr>
          <w:p w14:paraId="7D037B94" w14:textId="77777777" w:rsidR="00C879EE" w:rsidRDefault="00000000">
            <w:pPr>
              <w:spacing w:after="0" w:line="259" w:lineRule="auto"/>
              <w:ind w:left="0" w:firstLine="0"/>
            </w:pPr>
            <w:r>
              <w:rPr>
                <w:b/>
              </w:rPr>
              <w:t xml:space="preserve">Height measurement </w:t>
            </w:r>
          </w:p>
        </w:tc>
        <w:tc>
          <w:tcPr>
            <w:tcW w:w="1250" w:type="pct"/>
            <w:tcBorders>
              <w:top w:val="single" w:sz="4" w:space="0" w:color="8EAADB"/>
              <w:left w:val="single" w:sz="4" w:space="0" w:color="8EAADB"/>
              <w:bottom w:val="single" w:sz="4" w:space="0" w:color="8EAADB"/>
              <w:right w:val="single" w:sz="4" w:space="0" w:color="8EAADB"/>
            </w:tcBorders>
            <w:vAlign w:val="center"/>
            <w:shd w:val="clear" w:color="auto" w:fill="D9E2F3"/>
          </w:tcPr>
          <w:p w14:paraId="09A8E49D" w14:textId="77777777" w:rsidR="00C879EE" w:rsidRDefault="00000000">
            <w:pPr>
              <w:spacing w:after="0" w:line="259" w:lineRule="auto"/>
              <w:ind w:left="0" w:firstLine="0"/>
            </w:pPr>
            <w:r>
              <w:rPr>
                <w:rFonts w:ascii="Cambria Math" w:eastAsia="Cambria Math" w:hAnsi="Cambria Math" w:cs="Cambria Math"/>
                <w:b/>
              </w:rPr>
              <w:t>&lt; 1</w:t>
            </w:r>
            <w:r>
              <w:rPr>
                <w:b/>
              </w:rPr>
              <w:t xml:space="preserve"> µm </w:t>
            </w:r>
          </w:p>
        </w:tc>
        <w:tc>
          <w:tcPr>
            <w:tcW w:w="1250" w:type="pct"/>
            <w:tcBorders>
              <w:top w:val="single" w:sz="4" w:space="0" w:color="8EAADB"/>
              <w:left w:val="single" w:sz="4" w:space="0" w:color="8EAADB"/>
              <w:bottom w:val="single" w:sz="4" w:space="0" w:color="8EAADB"/>
              <w:right w:val="single" w:sz="4" w:space="0" w:color="8EAADB"/>
            </w:tcBorders>
            <w:vAlign w:val="center"/>
            <w:shd w:val="clear" w:color="auto" w:fill="D9E2F3"/>
          </w:tcPr>
          <w:p w14:paraId="2F571AA7" w14:textId="77777777" w:rsidR="00C879EE" w:rsidRDefault="00000000">
            <w:pPr>
              <w:spacing w:after="0" w:line="259" w:lineRule="auto"/>
              <w:ind w:left="0" w:firstLine="0"/>
            </w:pPr>
            <w:r>
              <w:rPr>
                <w:b/>
              </w:rPr>
              <w:t xml:space="preserve">~10 nm (AFM) </w:t>
            </w:r>
          </w:p>
        </w:tc>
        <w:tc>
          <w:tcPr>
            <w:tcW w:w="1250" w:type="pct"/>
            <w:tcBorders>
              <w:top w:val="single" w:sz="4" w:space="0" w:color="8EAADB"/>
              <w:left w:val="single" w:sz="4" w:space="0" w:color="8EAADB"/>
              <w:bottom w:val="single" w:sz="4" w:space="0" w:color="8EAADB"/>
              <w:right w:val="single" w:sz="4" w:space="0" w:color="8EAADB"/>
            </w:tcBorders>
            <w:vAlign w:val="center"/>
            <w:shd w:val="clear" w:color="auto" w:fill="D9E2F3"/>
          </w:tcPr>
          <w:p w14:paraId="3BA63450" w14:textId="77777777" w:rsidR="00C879EE" w:rsidRDefault="00000000">
            <w:pPr>
              <w:spacing w:after="0" w:line="259" w:lineRule="auto"/>
              <w:ind w:left="0" w:firstLine="0"/>
              <w:jc w:val="both"/>
            </w:pPr>
            <w:r>
              <w:rPr>
                <w:b/>
              </w:rPr>
              <w:t xml:space="preserve">Yes </w:t>
            </w:r>
          </w:p>
        </w:tc>
      </w:tr>
      <w:tr w:rsidR="00C879EE" w14:paraId="4AD942FE" w14:textId="77777777">
        <w:trPr>
          <w:trHeight w:val="338"/>
        </w:trPr>
        <w:tc>
          <w:tcPr>
            <w:tcW w:w="1250" w:type="pct"/>
            <w:tcBorders>
              <w:top w:val="single" w:sz="4" w:space="0" w:color="8EAADB"/>
              <w:left w:val="single" w:sz="4" w:space="0" w:color="8EAADB"/>
              <w:bottom w:val="single" w:sz="4" w:space="0" w:color="8EAADB"/>
              <w:right w:val="single" w:sz="4" w:space="0" w:color="8EAADB"/>
            </w:tcBorders>
            <w:vAlign w:val="center"/>
          </w:tcPr>
          <w:p w14:paraId="767A9D01" w14:textId="77777777" w:rsidR="00C879EE" w:rsidRDefault="00000000">
            <w:pPr>
              <w:spacing w:after="0" w:line="259" w:lineRule="auto"/>
              <w:ind w:left="0" w:firstLine="0"/>
            </w:pPr>
            <w:r>
              <w:t xml:space="preserve">Height control </w:t>
            </w:r>
          </w:p>
        </w:tc>
        <w:tc>
          <w:tcPr>
            <w:tcW w:w="1250" w:type="pct"/>
            <w:tcBorders>
              <w:top w:val="single" w:sz="4" w:space="0" w:color="8EAADB"/>
              <w:left w:val="single" w:sz="4" w:space="0" w:color="8EAADB"/>
              <w:bottom w:val="single" w:sz="4" w:space="0" w:color="8EAADB"/>
              <w:right w:val="single" w:sz="4" w:space="0" w:color="8EAADB"/>
            </w:tcBorders>
            <w:vAlign w:val="center"/>
          </w:tcPr>
          <w:p w14:paraId="58E62693" w14:textId="77777777" w:rsidR="00C879EE" w:rsidRDefault="00000000">
            <w:pPr>
              <w:spacing w:after="0" w:line="259" w:lineRule="auto"/>
              <w:ind w:left="0" w:firstLine="0"/>
            </w:pPr>
            <w:r>
              <w:rPr>
                <w:rFonts w:ascii="Cambria Math" w:eastAsia="Cambria Math" w:hAnsi="Cambria Math" w:cs="Cambria Math"/>
              </w:rPr>
              <w:t>&lt; 1</w:t>
            </w:r>
            <w:r>
              <w:t xml:space="preserve"> µm </w:t>
            </w:r>
          </w:p>
        </w:tc>
        <w:tc>
          <w:tcPr>
            <w:tcW w:w="1250" w:type="pct"/>
            <w:tcBorders>
              <w:top w:val="single" w:sz="4" w:space="0" w:color="8EAADB"/>
              <w:left w:val="single" w:sz="4" w:space="0" w:color="8EAADB"/>
              <w:bottom w:val="single" w:sz="4" w:space="0" w:color="8EAADB"/>
              <w:right w:val="single" w:sz="4" w:space="0" w:color="8EAADB"/>
            </w:tcBorders>
            <w:vAlign w:val="center"/>
          </w:tcPr>
          <w:p w14:paraId="1062AEF2" w14:textId="77777777" w:rsidR="00C879EE" w:rsidRDefault="00000000">
            <w:pPr>
              <w:spacing w:after="0" w:line="259" w:lineRule="auto"/>
              <w:ind w:left="0" w:firstLine="0"/>
            </w:pPr>
            <w:r>
              <w:t xml:space="preserve">~10 nm (piezo) </w:t>
            </w:r>
          </w:p>
        </w:tc>
        <w:tc>
          <w:tcPr>
            <w:tcW w:w="1250" w:type="pct"/>
            <w:tcBorders>
              <w:top w:val="single" w:sz="4" w:space="0" w:color="8EAADB"/>
              <w:left w:val="single" w:sz="4" w:space="0" w:color="8EAADB"/>
              <w:bottom w:val="single" w:sz="4" w:space="0" w:color="8EAADB"/>
              <w:right w:val="single" w:sz="4" w:space="0" w:color="8EAADB"/>
            </w:tcBorders>
            <w:vAlign w:val="center"/>
          </w:tcPr>
          <w:p w14:paraId="34DE2FB7" w14:textId="77777777" w:rsidR="00C879EE" w:rsidRDefault="00000000">
            <w:pPr>
              <w:spacing w:after="0" w:line="259" w:lineRule="auto"/>
              <w:ind w:left="0" w:firstLine="0"/>
              <w:jc w:val="both"/>
            </w:pPr>
            <w:r>
              <w:t xml:space="preserve">Yes </w:t>
            </w:r>
          </w:p>
        </w:tc>
      </w:tr>
      <w:tr w:rsidR="00C879EE" w14:paraId="06E3BB8B" w14:textId="77777777">
        <w:trPr>
          <w:trHeight w:val="371"/>
        </w:trPr>
        <w:tc>
          <w:tcPr>
            <w:tcW w:w="1250" w:type="pct"/>
            <w:tcBorders>
              <w:top w:val="single" w:sz="4" w:space="0" w:color="8EAADB"/>
              <w:left w:val="single" w:sz="4" w:space="0" w:color="8EAADB"/>
              <w:bottom w:val="single" w:sz="4" w:space="0" w:color="8EAADB"/>
              <w:right w:val="single" w:sz="4" w:space="0" w:color="8EAADB"/>
            </w:tcBorders>
            <w:vAlign w:val="center"/>
            <w:shd w:val="clear" w:color="auto" w:fill="F2F6FC"/>
          </w:tcPr>
          <w:p w14:paraId="0BEBD701" w14:textId="77777777" w:rsidR="00C879EE" w:rsidRDefault="00000000">
            <w:pPr>
              <w:spacing w:after="0" w:line="259" w:lineRule="auto"/>
              <w:ind w:left="0" w:firstLine="0"/>
            </w:pPr>
            <w:r>
              <w:t xml:space="preserve">Time measurement </w:t>
            </w:r>
          </w:p>
        </w:tc>
        <w:tc>
          <w:tcPr>
            <w:tcW w:w="1250" w:type="pct"/>
            <w:tcBorders>
              <w:top w:val="single" w:sz="4" w:space="0" w:color="8EAADB"/>
              <w:left w:val="single" w:sz="4" w:space="0" w:color="8EAADB"/>
              <w:bottom w:val="single" w:sz="4" w:space="0" w:color="8EAADB"/>
              <w:right w:val="single" w:sz="4" w:space="0" w:color="8EAADB"/>
            </w:tcBorders>
            <w:vAlign w:val="center"/>
            <w:shd w:val="clear" w:color="auto" w:fill="F2F6FC"/>
          </w:tcPr>
          <w:p w14:paraId="71A3F4D6" w14:textId="77777777" w:rsidR="00C879EE" w:rsidRDefault="00000000">
            <w:pPr>
              <w:spacing w:after="0" w:line="259" w:lineRule="auto"/>
              <w:ind w:left="0" w:firstLine="0"/>
            </w:pPr>
            <w:r>
              <w:rPr>
                <w:rFonts w:ascii="Cambria Math" w:eastAsia="Cambria Math" w:hAnsi="Cambria Math" w:cs="Cambria Math"/>
              </w:rPr>
              <w:t>&lt; 10</w:t>
            </w:r>
            <w:r>
              <w:rPr>
                <w:rFonts w:ascii="Cambria Math" w:eastAsia="Cambria Math" w:hAnsi="Cambria Math" w:cs="Cambria Math"/>
                <w:vertAlign w:val="superscript"/>
              </w:rPr>
              <w:t>−18</w:t>
            </w:r>
            <w:r>
              <w:t xml:space="preserve"> s/s </w:t>
            </w:r>
          </w:p>
        </w:tc>
        <w:tc>
          <w:tcPr>
            <w:tcW w:w="1250" w:type="pct"/>
            <w:tcBorders>
              <w:top w:val="single" w:sz="4" w:space="0" w:color="8EAADB"/>
              <w:left w:val="single" w:sz="4" w:space="0" w:color="8EAADB"/>
              <w:bottom w:val="single" w:sz="4" w:space="0" w:color="8EAADB"/>
              <w:right w:val="single" w:sz="4" w:space="0" w:color="8EAADB"/>
            </w:tcBorders>
            <w:vAlign w:val="center"/>
            <w:shd w:val="clear" w:color="auto" w:fill="F2F6FC"/>
          </w:tcPr>
          <w:p w14:paraId="39F4ADC7" w14:textId="77777777" w:rsidR="00C879EE" w:rsidRDefault="00000000">
            <w:pPr>
              <w:spacing w:after="0" w:line="259" w:lineRule="auto"/>
              <w:ind w:left="0" w:firstLine="0"/>
            </w:pPr>
            <w:r>
              <w:t>~</w:t>
            </w:r>
            <w:r>
              <w:rPr>
                <w:rFonts w:ascii="Cambria Math" w:eastAsia="Cambria Math" w:hAnsi="Cambria Math" w:cs="Cambria Math"/>
              </w:rPr>
              <w:t>10</w:t>
            </w:r>
            <w:r>
              <w:rPr>
                <w:rFonts w:ascii="Cambria Math" w:eastAsia="Cambria Math" w:hAnsi="Cambria Math" w:cs="Cambria Math"/>
                <w:vertAlign w:val="superscript"/>
              </w:rPr>
              <w:t>−19</w:t>
            </w:r>
            <w:r>
              <w:t xml:space="preserve"> s/s (optical clocks) </w:t>
            </w:r>
          </w:p>
        </w:tc>
        <w:tc>
          <w:tcPr>
            <w:tcW w:w="1250" w:type="pct"/>
            <w:tcBorders>
              <w:top w:val="single" w:sz="4" w:space="0" w:color="8EAADB"/>
              <w:left w:val="single" w:sz="4" w:space="0" w:color="8EAADB"/>
              <w:bottom w:val="single" w:sz="4" w:space="0" w:color="8EAADB"/>
              <w:right w:val="single" w:sz="4" w:space="0" w:color="8EAADB"/>
            </w:tcBorders>
            <w:vAlign w:val="center"/>
            <w:shd w:val="clear" w:color="auto" w:fill="F2F6FC"/>
          </w:tcPr>
          <w:p w14:paraId="7ABB84D4" w14:textId="77777777" w:rsidR="00C879EE" w:rsidRDefault="00000000">
            <w:pPr>
              <w:spacing w:after="0" w:line="259" w:lineRule="auto"/>
              <w:ind w:left="0" w:firstLine="0"/>
              <w:jc w:val="both"/>
            </w:pPr>
            <w:r>
              <w:t xml:space="preserve">Yes </w:t>
            </w:r>
          </w:p>
        </w:tc>
      </w:tr>
      <w:tr w:rsidR="00C879EE" w14:paraId="67E76DC3" w14:textId="77777777">
        <w:trPr>
          <w:trHeight w:val="296"/>
        </w:trPr>
        <w:tc>
          <w:tcPr>
            <w:tcW w:w="1250" w:type="pct"/>
            <w:tcBorders>
              <w:top w:val="single" w:sz="4" w:space="0" w:color="8EAADB"/>
              <w:left w:val="single" w:sz="4" w:space="0" w:color="8EAADB"/>
              <w:bottom w:val="single" w:sz="4" w:space="0" w:color="8EAADB"/>
              <w:right w:val="single" w:sz="4" w:space="0" w:color="8EAADB"/>
            </w:tcBorders>
            <w:vAlign w:val="center"/>
          </w:tcPr>
          <w:p w14:paraId="699E8727" w14:textId="77777777" w:rsidR="00C879EE" w:rsidRDefault="00000000">
            <w:pPr>
              <w:spacing w:after="0" w:line="259" w:lineRule="auto"/>
              <w:ind w:left="0" w:firstLine="0"/>
            </w:pPr>
            <w:r>
              <w:t xml:space="preserve">Gate timing control </w:t>
            </w:r>
          </w:p>
        </w:tc>
        <w:tc>
          <w:tcPr>
            <w:tcW w:w="1250" w:type="pct"/>
            <w:tcBorders>
              <w:top w:val="single" w:sz="4" w:space="0" w:color="8EAADB"/>
              <w:left w:val="single" w:sz="4" w:space="0" w:color="8EAADB"/>
              <w:bottom w:val="single" w:sz="4" w:space="0" w:color="8EAADB"/>
              <w:right w:val="single" w:sz="4" w:space="0" w:color="8EAADB"/>
            </w:tcBorders>
            <w:vAlign w:val="center"/>
          </w:tcPr>
          <w:p w14:paraId="01B3E433" w14:textId="77777777" w:rsidR="00C879EE" w:rsidRDefault="00000000">
            <w:pPr>
              <w:spacing w:after="0" w:line="259" w:lineRule="auto"/>
              <w:ind w:left="0" w:firstLine="0"/>
            </w:pPr>
            <w:r>
              <w:rPr>
                <w:rFonts w:ascii="Cambria Math" w:eastAsia="Cambria Math" w:hAnsi="Cambria Math" w:cs="Cambria Math"/>
              </w:rPr>
              <w:t>&lt; 1</w:t>
            </w:r>
            <w:r>
              <w:t xml:space="preserve"> ps </w:t>
            </w:r>
          </w:p>
        </w:tc>
        <w:tc>
          <w:tcPr>
            <w:tcW w:w="1250" w:type="pct"/>
            <w:tcBorders>
              <w:top w:val="single" w:sz="4" w:space="0" w:color="8EAADB"/>
              <w:left w:val="single" w:sz="4" w:space="0" w:color="8EAADB"/>
              <w:bottom w:val="single" w:sz="4" w:space="0" w:color="8EAADB"/>
              <w:right w:val="single" w:sz="4" w:space="0" w:color="8EAADB"/>
            </w:tcBorders>
            <w:vAlign w:val="center"/>
          </w:tcPr>
          <w:p w14:paraId="6D4623C2" w14:textId="77777777" w:rsidR="00C879EE" w:rsidRDefault="00000000">
            <w:pPr>
              <w:spacing w:after="0" w:line="259" w:lineRule="auto"/>
              <w:ind w:left="0" w:firstLine="0"/>
            </w:pPr>
            <w:r>
              <w:t xml:space="preserve">~100 fs (AWG) </w:t>
            </w:r>
          </w:p>
        </w:tc>
        <w:tc>
          <w:tcPr>
            <w:tcW w:w="1250" w:type="pct"/>
            <w:tcBorders>
              <w:top w:val="single" w:sz="4" w:space="0" w:color="8EAADB"/>
              <w:left w:val="single" w:sz="4" w:space="0" w:color="8EAADB"/>
              <w:bottom w:val="single" w:sz="4" w:space="0" w:color="8EAADB"/>
              <w:right w:val="single" w:sz="4" w:space="0" w:color="8EAADB"/>
            </w:tcBorders>
            <w:vAlign w:val="center"/>
          </w:tcPr>
          <w:p w14:paraId="36D6C244" w14:textId="77777777" w:rsidR="00C879EE" w:rsidRDefault="00000000">
            <w:pPr>
              <w:spacing w:after="0" w:line="259" w:lineRule="auto"/>
              <w:ind w:left="0" w:firstLine="0"/>
              <w:jc w:val="both"/>
            </w:pPr>
            <w:r>
              <w:t xml:space="preserve">Yes </w:t>
            </w:r>
          </w:p>
        </w:tc>
      </w:tr>
    </w:tbl>
    <w:p w14:paraId="346AC17C" w14:textId="77777777" w:rsidR="00C879EE" w:rsidRDefault="00000000">
      <w:pPr>
        <w:tabs>
          <w:tab w:val="center" w:pos="3664"/>
          <w:tab w:val="center" w:pos="5880"/>
          <w:tab w:val="center" w:pos="8533"/>
        </w:tabs>
        <w:spacing w:after="11"/>
        <w:ind w:left="0" w:firstLine="0"/>
      </w:pPr>
      <w:r/>
      <w:r/>
      <w:r/>
      <w:r/>
    </w:p>
    <w:p w14:paraId="7E8D7E3F" w14:textId="77777777" w:rsidR="00C879EE" w:rsidRDefault="00000000">
      <w:pPr>
        <w:spacing w:after="75" w:line="259" w:lineRule="auto"/>
        <w:ind w:left="0" w:firstLine="0"/>
        <w:jc w:val="center"/>
      </w:pPr>
      <w:r>
        <w:rPr>
          <w:rFonts w:ascii="Calibri" w:eastAsia="Calibri" w:hAnsi="Calibri" w:cs="Calibri"/>
          <w:noProof/>
          <w:sz w:val="22"/>
        </w:rPr>
        <mc:AlternateContent>
          <mc:Choice Requires="wpg">
            <w:drawing>
              <wp:inline distT="0" distB="0" distL="0" distR="0" wp14:anchorId="29BC6AD2" wp14:editId="3C5AC84A">
                <wp:extent cx="5821121" cy="1524"/>
                <wp:effectExtent l="0" t="0" r="0" b="0"/>
                <wp:docPr id="20992" name="Group 20992"/>
                <wp:cNvGraphicFramePr/>
                <a:graphic xmlns:a="http://schemas.openxmlformats.org/drawingml/2006/main">
                  <a:graphicData uri="http://schemas.microsoft.com/office/word/2010/wordprocessingGroup">
                    <wpg:wgp>
                      <wpg:cNvGrpSpPr/>
                      <wpg:grpSpPr>
                        <a:xfrm>
                          <a:off x="0" y="0"/>
                          <a:ext cx="5821121" cy="1524"/>
                          <a:chOff x="0" y="0"/>
                          <a:chExt cx="5821121" cy="1524"/>
                        </a:xfrm>
                      </wpg:grpSpPr>
                      <wps:wsp>
                        <wps:cNvPr id="24672" name="Shape 24672"/>
                        <wps:cNvSpPr/>
                        <wps:spPr>
                          <a:xfrm>
                            <a:off x="0" y="0"/>
                            <a:ext cx="1637030" cy="9144"/>
                          </a:xfrm>
                          <a:custGeom>
                            <a:avLst/>
                            <a:gdLst/>
                            <a:ahLst/>
                            <a:cxnLst/>
                            <a:rect l="0" t="0" r="0" b="0"/>
                            <a:pathLst>
                              <a:path w="1637030" h="9144">
                                <a:moveTo>
                                  <a:pt x="0" y="0"/>
                                </a:moveTo>
                                <a:lnTo>
                                  <a:pt x="1637030" y="0"/>
                                </a:lnTo>
                                <a:lnTo>
                                  <a:pt x="163703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73" name="Shape 24673"/>
                        <wps:cNvSpPr/>
                        <wps:spPr>
                          <a:xfrm>
                            <a:off x="163710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74" name="Shape 24674"/>
                        <wps:cNvSpPr/>
                        <wps:spPr>
                          <a:xfrm>
                            <a:off x="1638630" y="0"/>
                            <a:ext cx="1437132" cy="9144"/>
                          </a:xfrm>
                          <a:custGeom>
                            <a:avLst/>
                            <a:gdLst/>
                            <a:ahLst/>
                            <a:cxnLst/>
                            <a:rect l="0" t="0" r="0" b="0"/>
                            <a:pathLst>
                              <a:path w="1437132" h="9144">
                                <a:moveTo>
                                  <a:pt x="0" y="0"/>
                                </a:moveTo>
                                <a:lnTo>
                                  <a:pt x="1437132" y="0"/>
                                </a:lnTo>
                                <a:lnTo>
                                  <a:pt x="1437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75" name="Shape 24675"/>
                        <wps:cNvSpPr/>
                        <wps:spPr>
                          <a:xfrm>
                            <a:off x="307576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76" name="Shape 24676"/>
                        <wps:cNvSpPr/>
                        <wps:spPr>
                          <a:xfrm>
                            <a:off x="3077286" y="0"/>
                            <a:ext cx="1971167" cy="9144"/>
                          </a:xfrm>
                          <a:custGeom>
                            <a:avLst/>
                            <a:gdLst/>
                            <a:ahLst/>
                            <a:cxnLst/>
                            <a:rect l="0" t="0" r="0" b="0"/>
                            <a:pathLst>
                              <a:path w="1971167" h="9144">
                                <a:moveTo>
                                  <a:pt x="0" y="0"/>
                                </a:moveTo>
                                <a:lnTo>
                                  <a:pt x="1971167" y="0"/>
                                </a:lnTo>
                                <a:lnTo>
                                  <a:pt x="197116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77" name="Shape 24677"/>
                        <wps:cNvSpPr/>
                        <wps:spPr>
                          <a:xfrm>
                            <a:off x="504845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78" name="Shape 24678"/>
                        <wps:cNvSpPr/>
                        <wps:spPr>
                          <a:xfrm>
                            <a:off x="5049977" y="0"/>
                            <a:ext cx="771144" cy="9144"/>
                          </a:xfrm>
                          <a:custGeom>
                            <a:avLst/>
                            <a:gdLst/>
                            <a:ahLst/>
                            <a:cxnLst/>
                            <a:rect l="0" t="0" r="0" b="0"/>
                            <a:pathLst>
                              <a:path w="771144" h="9144">
                                <a:moveTo>
                                  <a:pt x="0" y="0"/>
                                </a:moveTo>
                                <a:lnTo>
                                  <a:pt x="771144" y="0"/>
                                </a:lnTo>
                                <a:lnTo>
                                  <a:pt x="771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0992" style="width:458.356pt;height:0.119995pt;mso-position-horizontal-relative:char;mso-position-vertical-relative:line" coordsize="58211,15">
                <v:shape id="Shape 24679" style="position:absolute;width:16370;height:91;left:0;top:0;" coordsize="1637030,9144" path="m0,0l1637030,0l1637030,9144l0,9144l0,0">
                  <v:stroke weight="0pt" endcap="flat" joinstyle="miter" miterlimit="10" on="false" color="#000000" opacity="0"/>
                  <v:fill on="true" color="#000000"/>
                </v:shape>
                <v:shape id="Shape 24680" style="position:absolute;width:91;height:91;left:16371;top:0;" coordsize="9144,9144" path="m0,0l9144,0l9144,9144l0,9144l0,0">
                  <v:stroke weight="0pt" endcap="flat" joinstyle="miter" miterlimit="10" on="false" color="#000000" opacity="0"/>
                  <v:fill on="true" color="#000000"/>
                </v:shape>
                <v:shape id="Shape 24681" style="position:absolute;width:14371;height:91;left:16386;top:0;" coordsize="1437132,9144" path="m0,0l1437132,0l1437132,9144l0,9144l0,0">
                  <v:stroke weight="0pt" endcap="flat" joinstyle="miter" miterlimit="10" on="false" color="#000000" opacity="0"/>
                  <v:fill on="true" color="#000000"/>
                </v:shape>
                <v:shape id="Shape 24682" style="position:absolute;width:91;height:91;left:30757;top:0;" coordsize="9144,9144" path="m0,0l9144,0l9144,9144l0,9144l0,0">
                  <v:stroke weight="0pt" endcap="flat" joinstyle="miter" miterlimit="10" on="false" color="#000000" opacity="0"/>
                  <v:fill on="true" color="#000000"/>
                </v:shape>
                <v:shape id="Shape 24683" style="position:absolute;width:19711;height:91;left:30772;top:0;" coordsize="1971167,9144" path="m0,0l1971167,0l1971167,9144l0,9144l0,0">
                  <v:stroke weight="0pt" endcap="flat" joinstyle="miter" miterlimit="10" on="false" color="#000000" opacity="0"/>
                  <v:fill on="true" color="#000000"/>
                </v:shape>
                <v:shape id="Shape 24684" style="position:absolute;width:91;height:91;left:50484;top:0;" coordsize="9144,9144" path="m0,0l9144,0l9144,9144l0,9144l0,0">
                  <v:stroke weight="0pt" endcap="flat" joinstyle="miter" miterlimit="10" on="false" color="#000000" opacity="0"/>
                  <v:fill on="true" color="#000000"/>
                </v:shape>
                <v:shape id="Shape 24685" style="position:absolute;width:7711;height:91;left:50499;top:0;" coordsize="771144,9144" path="m0,0l771144,0l771144,9144l0,9144l0,0">
                  <v:stroke weight="0pt" endcap="flat" joinstyle="miter" miterlimit="10" on="false" color="#000000" opacity="0"/>
                  <v:fill on="true" color="#000000"/>
                </v:shape>
              </v:group>
            </w:pict>
          </mc:Fallback>
        </mc:AlternateContent>
      </w:r>
    </w:p>
    <w:p w14:paraId="15312CAD" w14:textId="77777777" w:rsidR="00C879EE" w:rsidRDefault="00000000">
      <w:pPr>
        <w:tabs>
          <w:tab w:val="center" w:pos="3166"/>
          <w:tab w:val="center" w:pos="5726"/>
          <w:tab w:val="center" w:pos="8237"/>
        </w:tabs>
        <w:spacing w:after="285"/>
        <w:ind w:left="0" w:firstLine="0"/>
      </w:pPr>
      <w:r>
        <w:t xml:space="preserve">Fidelity measurement </w:t>
      </w:r>
      <w:r>
        <w:tab/>
      </w:r>
      <w:r>
        <w:rPr>
          <w:rFonts w:ascii="Cambria Math" w:eastAsia="Cambria Math" w:hAnsi="Cambria Math" w:cs="Cambria Math"/>
        </w:rPr>
        <w:t>&lt; 0.01</w:t>
      </w:r>
      <w:r>
        <w:t xml:space="preserve"> % </w:t>
      </w:r>
      <w:r>
        <w:tab/>
        <w:t xml:space="preserve">~0.001 % (RB) </w:t>
      </w:r>
      <w:r>
        <w:tab/>
        <w:t xml:space="preserve">Yes </w:t>
      </w:r>
    </w:p>
    <w:p w14:paraId="1A8BB102" w14:textId="77777777" w:rsidR="00C879EE" w:rsidRDefault="00000000">
      <w:pPr>
        <w:pStyle w:val="berschrift1"/>
        <w:spacing w:after="147"/>
        <w:ind w:left="381" w:hanging="396"/>
        <w:pageBreakBefore/>
      </w:pPr>
      <w:r>
        <w:t xml:space="preserve">Discussion </w:t>
      </w:r>
    </w:p>
    <w:p w14:paraId="7C124A20" w14:textId="77777777" w:rsidR="00C879EE" w:rsidRDefault="00000000">
      <w:pPr>
        <w:pStyle w:val="berschrift2"/>
        <w:ind w:left="513" w:hanging="528"/>
      </w:pPr>
      <w:r>
        <w:t xml:space="preserve">Significance of SSZ for quantum computing </w:t>
      </w:r>
    </w:p>
    <w:p w14:paraId="64B2BADD" w14:textId="77777777" w:rsidR="00C879EE" w:rsidRDefault="00000000">
      <w:pPr>
        <w:spacing w:after="204"/>
        <w:ind w:left="-5"/>
      </w:pPr>
      <w:r>
        <w:t xml:space="preserve">Our analysis reveals a deterministic, geometric contribution to qubit errors that may be an unmodelled deterministic contribution, subdominant at Earth-scale but falsifiable. Relative height differences of just one millimetre induce time‑dilation rates of (10⁻¹⁹) s/s. Over millions of gates, these accumulate to systematic phase shifts that bias computation outcomes (bound regime; direct detection requires optical-clock precision, see Paper D). Integrating SSZ corrections can reduce this bias by an order of magnitude, comparable to improvements achieved through hardware advances. Because the correction is purely a multiplicative factor applied to pulse durations, it requires no hardware modifications and can be integrated into compiler stacks and calibration routines. (Note: This improvement is observed in didactically scaled simulations; at true Earth-scale, SSZ effects are ~10⁻¹⁴ of base rates.) </w:t>
      </w:r>
    </w:p>
    <w:p w14:paraId="37B79943" w14:textId="77777777" w:rsidR="00C879EE" w:rsidRDefault="00000000">
      <w:pPr>
        <w:pStyle w:val="berschrift2"/>
        <w:ind w:left="513" w:hanging="528"/>
      </w:pPr>
      <w:r>
        <w:t xml:space="preserve">Relation to GR and quantum gravity </w:t>
      </w:r>
    </w:p>
    <w:p w14:paraId="197F652D" w14:textId="77777777" w:rsidR="00C879EE" w:rsidRDefault="00000000">
      <w:pPr>
        <w:spacing w:after="204"/>
        <w:ind w:left="-5"/>
      </w:pPr>
      <w:r>
        <w:t xml:space="preserve">SSZ recovers GR predictions in the weak‑field regime but avoids singularities by discretising spacetime. This makes SSZ an effective model bridging classical general relativity and potential quantum gravity theories. Other approaches, such as loop quantum gravity and string theory, aim at Planck‑scale physics and do not provide explicit formulae for micrometre‑to‑metre scales relevant to quantum devices. Therefore, SSZ represents one of the few frameworks offering </w:t>
      </w:r>
      <w:r>
        <w:rPr>
          <w:b/>
        </w:rPr>
        <w:t>testable predictions</w:t>
      </w:r>
      <w:r>
        <w:t xml:space="preserve"> at laboratory scales. Even if SSZ ultimately reduces to GR, verifying its predictions would solidify our understanding of gravitational effects on quantum information processing. </w:t>
      </w:r>
    </w:p>
    <w:p w14:paraId="47592DEA" w14:textId="77777777" w:rsidR="00C879EE" w:rsidRDefault="00000000">
      <w:pPr>
        <w:pStyle w:val="berschrift2"/>
        <w:ind w:left="513" w:hanging="528"/>
      </w:pPr>
      <w:r>
        <w:t xml:space="preserve">Limitations and challenges </w:t>
      </w:r>
    </w:p>
    <w:p w14:paraId="4343372F" w14:textId="77777777" w:rsidR="00C879EE" w:rsidRDefault="00000000">
      <w:pPr>
        <w:ind w:left="-5"/>
      </w:pPr>
      <w:r>
        <w:t xml:space="preserve">Several caveats temper our conclusions: </w:t>
      </w:r>
    </w:p>
    <w:p w14:paraId="04A8E35D" w14:textId="77777777" w:rsidR="00C879EE" w:rsidRDefault="00000000">
      <w:pPr>
        <w:numPr>
          <w:ilvl w:val="0"/>
          <w:numId w:val="6"/>
        </w:numPr>
        <w:spacing w:after="34"/>
        <w:ind w:hanging="480"/>
      </w:pPr>
      <w:r>
        <w:rPr>
          <w:b/>
        </w:rPr>
        <w:t>Tiny effect size:</w:t>
      </w:r>
      <w:r>
        <w:t xml:space="preserve"> The predicted phase drift per gate is (10⁻¹⁶) rad for (h=1) mm. Many other noise sources (charge noise, flux noise, two‑level systems) dominate error budgets. Isolating SSZ contributions requires careful control of these variables. </w:t>
      </w:r>
    </w:p>
    <w:p w14:paraId="5E271FBB" w14:textId="77777777" w:rsidR="00C879EE" w:rsidRDefault="00000000">
      <w:pPr>
        <w:numPr>
          <w:ilvl w:val="0"/>
          <w:numId w:val="6"/>
        </w:numPr>
        <w:spacing w:after="37"/>
        <w:ind w:hanging="480"/>
      </w:pPr>
      <w:r>
        <w:rPr>
          <w:b/>
        </w:rPr>
        <w:t>Linearisation:</w:t>
      </w:r>
      <w:r>
        <w:t xml:space="preserve"> Our derivations rely on linear approximations valid for Δh ≪ R_Earth; this condition is safely satisfied in all laboratory experiments but must be remembered when applying formulas at larger scales. </w:t>
      </w:r>
    </w:p>
    <w:p w14:paraId="1DF92493" w14:textId="77777777" w:rsidR="00C879EE" w:rsidRDefault="00000000">
      <w:pPr>
        <w:numPr>
          <w:ilvl w:val="0"/>
          <w:numId w:val="6"/>
        </w:numPr>
        <w:spacing w:after="34"/>
        <w:ind w:hanging="480"/>
      </w:pPr>
      <w:r>
        <w:rPr>
          <w:b/>
        </w:rPr>
        <w:t>Model validity:</w:t>
      </w:r>
      <w:r>
        <w:t xml:space="preserve"> SSZ is a hypothesis requiring experimental verification. Although it reproduces GR predictions in the weak field, the concept of segment density and discrete spacetime is not yet established. </w:t>
      </w:r>
    </w:p>
    <w:p w14:paraId="79FCD47F" w14:textId="77777777" w:rsidR="00C879EE" w:rsidRDefault="00000000">
      <w:pPr>
        <w:numPr>
          <w:ilvl w:val="0"/>
          <w:numId w:val="6"/>
        </w:numPr>
        <w:spacing w:after="25"/>
        <w:ind w:hanging="480"/>
      </w:pPr>
      <w:r>
        <w:rPr>
          <w:b/>
        </w:rPr>
        <w:t>Integration with error correction:</w:t>
      </w:r>
      <w:r>
        <w:t xml:space="preserve"> We have not analysed how SSZ corrections interact with quantum error‑correction codes; further work is needed to integrate segment density into syndrome extraction and decoding. </w:t>
      </w:r>
    </w:p>
    <w:p w14:paraId="7370F5B5" w14:textId="77777777" w:rsidR="00C879EE" w:rsidRDefault="00000000">
      <w:pPr>
        <w:spacing w:after="11" w:line="259" w:lineRule="auto"/>
        <w:ind w:left="0" w:firstLine="0"/>
      </w:pPr>
      <w:r>
        <w:t xml:space="preserve"> </w:t>
      </w:r>
    </w:p>
    <w:p w14:paraId="4F8F1E68" w14:textId="77777777" w:rsidR="00C879EE" w:rsidRDefault="00000000">
      <w:pPr>
        <w:spacing w:after="11" w:line="259" w:lineRule="auto"/>
        <w:ind w:left="0" w:firstLine="0"/>
      </w:pPr>
      <w:r>
        <w:t xml:space="preserve"> </w:t>
      </w:r>
    </w:p>
    <w:p w14:paraId="408E6D26" w14:textId="77777777" w:rsidR="00C879EE" w:rsidRDefault="00000000">
      <w:pPr>
        <w:spacing w:after="13" w:line="259" w:lineRule="auto"/>
        <w:ind w:left="0" w:firstLine="0"/>
      </w:pPr>
      <w:r>
        <w:lastRenderedPageBreak/>
        <w:t xml:space="preserve"> </w:t>
      </w:r>
    </w:p>
    <w:p w14:paraId="32FE1DD4" w14:textId="77777777" w:rsidR="00C879EE" w:rsidRDefault="00000000">
      <w:pPr>
        <w:spacing w:after="0" w:line="259" w:lineRule="auto"/>
        <w:ind w:left="0" w:firstLine="0"/>
      </w:pPr>
      <w:r>
        <w:t xml:space="preserve"> </w:t>
      </w:r>
    </w:p>
    <w:p w14:paraId="59CB0B61" w14:textId="77777777" w:rsidR="00C879EE" w:rsidRDefault="00000000">
      <w:pPr>
        <w:spacing w:after="176" w:line="259" w:lineRule="auto"/>
        <w:ind w:left="0" w:firstLine="0"/>
      </w:pPr>
      <w:r>
        <w:t xml:space="preserve"> </w:t>
      </w:r>
    </w:p>
    <w:p w14:paraId="5D807F5F" w14:textId="77777777" w:rsidR="00C879EE" w:rsidRDefault="00000000">
      <w:pPr>
        <w:pStyle w:val="berschrift2"/>
        <w:ind w:left="511" w:hanging="526"/>
      </w:pPr>
      <w:r>
        <w:t xml:space="preserve">Outlook </w:t>
      </w:r>
    </w:p>
    <w:p w14:paraId="25A3585F" w14:textId="77777777" w:rsidR="00C879EE" w:rsidRDefault="00000000">
      <w:pPr>
        <w:ind w:left="-5"/>
      </w:pPr>
      <w:r>
        <w:t xml:space="preserve">The SSZ framework invites several avenues for future research: </w:t>
      </w:r>
    </w:p>
    <w:p w14:paraId="06820DD4" w14:textId="77777777" w:rsidR="00C879EE" w:rsidRDefault="00000000">
      <w:pPr>
        <w:numPr>
          <w:ilvl w:val="0"/>
          <w:numId w:val="7"/>
        </w:numPr>
        <w:spacing w:after="34"/>
        <w:ind w:hanging="480"/>
      </w:pPr>
      <w:r>
        <w:rPr>
          <w:b/>
        </w:rPr>
        <w:t>Compiler integration:</w:t>
      </w:r>
      <w:r>
        <w:t xml:space="preserve"> Gate scheduling and mapping algorithms can incorporate qubit height and segment density as additional constraints. For instance, mapping qubits to minimise (h) or to cluster qubits within coherent zones could improve algorithm fidelity. </w:t>
      </w:r>
    </w:p>
    <w:p w14:paraId="46594546" w14:textId="77777777" w:rsidR="00C879EE" w:rsidRDefault="00000000">
      <w:pPr>
        <w:numPr>
          <w:ilvl w:val="0"/>
          <w:numId w:val="7"/>
        </w:numPr>
        <w:spacing w:after="35"/>
        <w:ind w:hanging="480"/>
      </w:pPr>
      <w:r>
        <w:rPr>
          <w:b/>
        </w:rPr>
        <w:t>Multi‑layer devices:</w:t>
      </w:r>
      <w:r>
        <w:t xml:space="preserve"> As industry moves towards 3D integrated circuits and stacked chiplets, vertical separation becomes significant. SSZ corrections will become increasingly relevant for cross‑layer two‑qubit gates. </w:t>
      </w:r>
    </w:p>
    <w:p w14:paraId="69C35E4D" w14:textId="77777777" w:rsidR="00C879EE" w:rsidRDefault="00000000">
      <w:pPr>
        <w:numPr>
          <w:ilvl w:val="0"/>
          <w:numId w:val="7"/>
        </w:numPr>
        <w:spacing w:after="37"/>
        <w:ind w:hanging="480"/>
      </w:pPr>
      <w:r>
        <w:rPr>
          <w:b/>
        </w:rPr>
        <w:t>Alternative gravimeters:</w:t>
      </w:r>
      <w:r>
        <w:t xml:space="preserve"> Quantum processors could serve as </w:t>
      </w:r>
      <w:r>
        <w:rPr>
          <w:b/>
        </w:rPr>
        <w:t>gravitational sensors</w:t>
      </w:r>
      <w:r>
        <w:t xml:space="preserve">, detecting local variations in (g) by measuring segment density differences across an array. </w:t>
      </w:r>
    </w:p>
    <w:p w14:paraId="0705A1F1" w14:textId="77777777" w:rsidR="00C879EE" w:rsidRDefault="00000000">
      <w:pPr>
        <w:numPr>
          <w:ilvl w:val="0"/>
          <w:numId w:val="7"/>
        </w:numPr>
        <w:spacing w:after="25"/>
        <w:ind w:hanging="480"/>
      </w:pPr>
      <w:r>
        <w:rPr>
          <w:b/>
        </w:rPr>
        <w:t>Fundamental physics tests:</w:t>
      </w:r>
      <w:r>
        <w:t xml:space="preserve"> Observing SSZ effects at micrometre scales would provide a novel test of general relativity and probe potential discretisation of spacetime, complementing large‑scale tests and tabletop experiments. </w:t>
      </w:r>
    </w:p>
    <w:p w14:paraId="7E225897" w14:textId="77777777" w:rsidR="00C879EE" w:rsidRDefault="00000000">
      <w:pPr>
        <w:spacing w:after="13" w:line="259" w:lineRule="auto"/>
        <w:ind w:left="0" w:firstLine="0"/>
      </w:pPr>
      <w:r>
        <w:t xml:space="preserve"> </w:t>
      </w:r>
    </w:p>
    <w:p w14:paraId="06AD81FC" w14:textId="77777777" w:rsidR="00C879EE" w:rsidRDefault="00000000">
      <w:pPr>
        <w:spacing w:after="11" w:line="259" w:lineRule="auto"/>
        <w:ind w:left="0" w:firstLine="0"/>
      </w:pPr>
      <w:r>
        <w:t xml:space="preserve"> </w:t>
      </w:r>
    </w:p>
    <w:p w14:paraId="49604E07" w14:textId="77777777" w:rsidR="00C879EE" w:rsidRDefault="00000000">
      <w:pPr>
        <w:spacing w:after="11" w:line="259" w:lineRule="auto"/>
        <w:ind w:left="0" w:firstLine="0"/>
      </w:pPr>
      <w:r>
        <w:t xml:space="preserve"> </w:t>
      </w:r>
    </w:p>
    <w:p w14:paraId="0E9E4633" w14:textId="77777777" w:rsidR="00C879EE" w:rsidRDefault="00000000">
      <w:pPr>
        <w:spacing w:after="11" w:line="259" w:lineRule="auto"/>
        <w:ind w:left="0" w:firstLine="0"/>
      </w:pPr>
      <w:r>
        <w:t xml:space="preserve"> </w:t>
      </w:r>
    </w:p>
    <w:p w14:paraId="68F7DC54" w14:textId="77777777" w:rsidR="00C879EE" w:rsidRDefault="00000000">
      <w:pPr>
        <w:spacing w:after="14" w:line="259" w:lineRule="auto"/>
        <w:ind w:left="0" w:firstLine="0"/>
      </w:pPr>
      <w:r>
        <w:t xml:space="preserve"> </w:t>
      </w:r>
    </w:p>
    <w:p w14:paraId="07CC7F80" w14:textId="77777777" w:rsidR="00C879EE" w:rsidRDefault="00000000">
      <w:pPr>
        <w:spacing w:after="11" w:line="259" w:lineRule="auto"/>
        <w:ind w:left="0" w:firstLine="0"/>
      </w:pPr>
      <w:r>
        <w:t xml:space="preserve"> </w:t>
      </w:r>
    </w:p>
    <w:p w14:paraId="4B440414" w14:textId="77777777" w:rsidR="00C879EE" w:rsidRDefault="00000000">
      <w:pPr>
        <w:spacing w:after="11" w:line="259" w:lineRule="auto"/>
        <w:ind w:left="0" w:firstLine="0"/>
      </w:pPr>
      <w:r>
        <w:t xml:space="preserve"> </w:t>
      </w:r>
    </w:p>
    <w:p w14:paraId="0B5D3E0C" w14:textId="77777777" w:rsidR="00C879EE" w:rsidRDefault="00000000">
      <w:pPr>
        <w:spacing w:after="11" w:line="259" w:lineRule="auto"/>
        <w:ind w:left="0" w:firstLine="0"/>
      </w:pPr>
      <w:r>
        <w:t xml:space="preserve"> </w:t>
      </w:r>
    </w:p>
    <w:p w14:paraId="1322107A" w14:textId="77777777" w:rsidR="00C879EE" w:rsidRDefault="00000000">
      <w:pPr>
        <w:spacing w:after="11" w:line="259" w:lineRule="auto"/>
        <w:ind w:left="0" w:firstLine="0"/>
      </w:pPr>
      <w:r>
        <w:t xml:space="preserve"> </w:t>
      </w:r>
    </w:p>
    <w:p w14:paraId="1CDEE20D" w14:textId="77777777" w:rsidR="00C879EE" w:rsidRDefault="00000000">
      <w:pPr>
        <w:spacing w:after="13" w:line="259" w:lineRule="auto"/>
        <w:ind w:left="0" w:firstLine="0"/>
      </w:pPr>
      <w:r>
        <w:t xml:space="preserve"> </w:t>
      </w:r>
    </w:p>
    <w:p w14:paraId="2D92DC5F" w14:textId="77777777" w:rsidR="00C879EE" w:rsidRDefault="00000000">
      <w:pPr>
        <w:spacing w:after="11" w:line="259" w:lineRule="auto"/>
        <w:ind w:left="0" w:firstLine="0"/>
      </w:pPr>
      <w:r>
        <w:t xml:space="preserve"> </w:t>
      </w:r>
    </w:p>
    <w:p w14:paraId="761D0592" w14:textId="77777777" w:rsidR="00C879EE" w:rsidRDefault="00000000">
      <w:pPr>
        <w:spacing w:after="11" w:line="259" w:lineRule="auto"/>
        <w:ind w:left="0" w:firstLine="0"/>
      </w:pPr>
      <w:r>
        <w:t xml:space="preserve"> </w:t>
      </w:r>
    </w:p>
    <w:p w14:paraId="526BA2CE" w14:textId="77777777" w:rsidR="00C879EE" w:rsidRDefault="00000000">
      <w:pPr>
        <w:spacing w:after="11" w:line="259" w:lineRule="auto"/>
        <w:ind w:left="0" w:firstLine="0"/>
      </w:pPr>
      <w:r>
        <w:t xml:space="preserve"> </w:t>
      </w:r>
    </w:p>
    <w:p w14:paraId="0651A0EA" w14:textId="77777777" w:rsidR="00C879EE" w:rsidRDefault="00000000">
      <w:pPr>
        <w:spacing w:after="13" w:line="259" w:lineRule="auto"/>
        <w:ind w:left="0" w:firstLine="0"/>
      </w:pPr>
      <w:r>
        <w:t xml:space="preserve"> </w:t>
      </w:r>
    </w:p>
    <w:p w14:paraId="0496EFF4" w14:textId="77777777" w:rsidR="00C879EE" w:rsidRDefault="00000000">
      <w:pPr>
        <w:spacing w:after="11" w:line="259" w:lineRule="auto"/>
        <w:ind w:left="0" w:firstLine="0"/>
      </w:pPr>
      <w:r>
        <w:t xml:space="preserve"> </w:t>
      </w:r>
    </w:p>
    <w:p w14:paraId="2D8006EF" w14:textId="77777777" w:rsidR="00C879EE" w:rsidRDefault="00000000">
      <w:pPr>
        <w:spacing w:after="11" w:line="259" w:lineRule="auto"/>
        <w:ind w:left="0" w:firstLine="0"/>
      </w:pPr>
      <w:r>
        <w:t xml:space="preserve"> </w:t>
      </w:r>
    </w:p>
    <w:p w14:paraId="2396C782" w14:textId="77777777" w:rsidR="00C879EE" w:rsidRDefault="00000000">
      <w:pPr>
        <w:spacing w:after="11" w:line="259" w:lineRule="auto"/>
        <w:ind w:left="0" w:firstLine="0"/>
      </w:pPr>
      <w:r>
        <w:t xml:space="preserve"> </w:t>
      </w:r>
    </w:p>
    <w:p w14:paraId="6A70810B" w14:textId="77777777" w:rsidR="00C879EE" w:rsidRDefault="00000000">
      <w:pPr>
        <w:spacing w:after="13" w:line="259" w:lineRule="auto"/>
        <w:ind w:left="0" w:firstLine="0"/>
      </w:pPr>
      <w:r>
        <w:t xml:space="preserve"> </w:t>
      </w:r>
    </w:p>
    <w:p w14:paraId="79137363" w14:textId="77777777" w:rsidR="00C879EE" w:rsidRDefault="00000000">
      <w:pPr>
        <w:spacing w:after="11" w:line="259" w:lineRule="auto"/>
        <w:ind w:left="0" w:firstLine="0"/>
      </w:pPr>
      <w:r>
        <w:t xml:space="preserve"> </w:t>
      </w:r>
    </w:p>
    <w:p w14:paraId="7A3E887C" w14:textId="77777777" w:rsidR="00C879EE" w:rsidRDefault="00000000">
      <w:pPr>
        <w:spacing w:after="11" w:line="259" w:lineRule="auto"/>
        <w:ind w:left="0" w:firstLine="0"/>
      </w:pPr>
      <w:r>
        <w:t xml:space="preserve"> </w:t>
      </w:r>
    </w:p>
    <w:p w14:paraId="4C06F010" w14:textId="77777777" w:rsidR="00C879EE" w:rsidRDefault="00000000">
      <w:pPr>
        <w:spacing w:after="11" w:line="259" w:lineRule="auto"/>
        <w:ind w:left="0" w:firstLine="0"/>
      </w:pPr>
      <w:r>
        <w:t xml:space="preserve"> </w:t>
      </w:r>
    </w:p>
    <w:p w14:paraId="413468C2" w14:textId="77777777" w:rsidR="00C879EE" w:rsidRDefault="00000000">
      <w:pPr>
        <w:spacing w:after="13" w:line="259" w:lineRule="auto"/>
        <w:ind w:left="0" w:firstLine="0"/>
      </w:pPr>
      <w:r>
        <w:t xml:space="preserve"> </w:t>
      </w:r>
    </w:p>
    <w:p w14:paraId="12A3B73E" w14:textId="77777777" w:rsidR="00C879EE" w:rsidRDefault="00000000">
      <w:pPr>
        <w:spacing w:after="11" w:line="259" w:lineRule="auto"/>
        <w:ind w:left="0" w:firstLine="0"/>
      </w:pPr>
      <w:r>
        <w:t xml:space="preserve"> </w:t>
      </w:r>
    </w:p>
    <w:p w14:paraId="2DB9740E" w14:textId="77777777" w:rsidR="00C879EE" w:rsidRDefault="00000000">
      <w:pPr>
        <w:spacing w:after="11" w:line="259" w:lineRule="auto"/>
        <w:ind w:left="0" w:firstLine="0"/>
      </w:pPr>
      <w:r>
        <w:lastRenderedPageBreak/>
        <w:t xml:space="preserve"> </w:t>
      </w:r>
    </w:p>
    <w:p w14:paraId="3EA60F35" w14:textId="77777777" w:rsidR="00C879EE" w:rsidRDefault="00000000">
      <w:pPr>
        <w:spacing w:after="0" w:line="259" w:lineRule="auto"/>
        <w:ind w:left="0" w:firstLine="0"/>
      </w:pPr>
      <w:r>
        <w:t xml:space="preserve"> </w:t>
      </w:r>
    </w:p>
    <w:p w14:paraId="03A24118" w14:textId="77777777" w:rsidR="00C879EE" w:rsidRDefault="00000000">
      <w:pPr>
        <w:pStyle w:val="berschrift1"/>
        <w:ind w:left="381" w:hanging="396"/>
        <w:pageBreakBefore/>
      </w:pPr>
      <w:r>
        <w:t xml:space="preserve">Conclusion </w:t>
      </w:r>
    </w:p>
    <w:p w14:paraId="02A7EB39" w14:textId="77777777" w:rsidR="00C879EE" w:rsidRDefault="00000000">
      <w:pPr>
        <w:ind w:left="-5"/>
      </w:pPr>
      <w:r>
        <w:t xml:space="preserve">We have presented a detailed and accessible account of how Segmented Spacetime (SSZ) influences qubit performance. Starting from the definition of segment density and time‑dilation factor, we derived formulas for the height‑dependent gradient, phase drift per gate and gate timing corrections. We calculated critical scales where SSZ becomes relevant, introduced segment‑coherent zones to guide chip design and calibration, and explained how to derive and apply timing correction factors. Through realistic Qiskit simulations, we demonstrated (in scaled stress-test simulations) that SSZ corrections improve gate fidelities by approximately 0.1 % under didactic scaling (S=10⁸; true Earth-scale impact ~10⁻²¹) and reduce systematic errors by an order of magnitude. Finally, we proposed experimental protocols for superconducting and trapped‑ion platforms and discussed the significance, limitations and future directions of SSZ. (Note: This improvement is observed in didactically scaled simulations; at true Earth-scale, SSZ effects are ~10⁻¹⁴ of base rates.) </w:t>
      </w:r>
    </w:p>
    <w:p w14:paraId="7EF79157" w14:textId="77777777" w:rsidR="00C879EE" w:rsidRDefault="00000000">
      <w:pPr>
        <w:ind w:left="-5"/>
      </w:pPr>
      <w:r>
        <w:t xml:space="preserve">The central message is clear: </w:t>
      </w:r>
      <w:r>
        <w:rPr>
          <w:b/>
        </w:rPr>
        <w:t>some qubit errors are geometric, deterministic and therefore predictable</w:t>
      </w:r>
      <w:r>
        <w:t xml:space="preserve">. These errors arise from micrometre‑to‑millimetre height differences in the gravitational field and accumulate over long circuits. By measuring qubit heights and applying SSZ timing corrections—software operations with no hardware cost— we can systematically reduce this error source. As quantum processors scale to larger numbers of qubits and deeper circuits, such corrections will become increasingly important—though detection requires platforms beyond current superconducting devices (see Paper C for feasibility analysis). Beyond practical implications, detecting SSZ effects would bring gravitational physics into the realm of quantum information science, opening a new frontier in testing the interplay between gravity and quantum computation. </w:t>
      </w:r>
    </w:p>
    <w:p w14:paraId="7A8FBA2E" w14:textId="77777777" w:rsidR="00C879EE" w:rsidRDefault="00000000">
      <w:pPr>
        <w:spacing w:after="0"/>
        <w:ind w:left="-5"/>
      </w:pPr>
      <w:r>
        <w:t>Companion paper: Phase coherence and entanglement preservation aspects of SSZ are treated in detail in our companion paper: "Phase Coherence and Entanglement Preservation via Spacetime Segmentation: A Microscopic Geometric Effect in Quantum Systems" (Paper  Test counts correspond to repository tag v1.0-paper-a and may grow as the suite evolves.</w:t>
      </w:r>
    </w:p>
    <w:p w14:paraId="76E66620" w14:textId="77777777" w:rsidR="00C879EE" w:rsidRDefault="00000000">
      <w:pPr>
        <w:spacing w:after="223"/>
        <w:ind w:left="-5"/>
      </w:pPr>
      <w:r>
        <w:t xml:space="preserve">B). </w:t>
      </w:r>
    </w:p>
    <w:p w14:paraId="7FE8DDB8" w14:textId="77777777" w:rsidR="00C879EE" w:rsidRDefault="00000000">
      <w:pPr>
        <w:spacing w:after="112" w:line="259" w:lineRule="auto"/>
        <w:ind w:left="0" w:firstLine="0"/>
      </w:pPr>
      <w:r>
        <w:rPr>
          <w:rFonts w:ascii="Calibri" w:eastAsia="Calibri" w:hAnsi="Calibri" w:cs="Calibri"/>
          <w:b/>
          <w:color w:val="4F81BD"/>
          <w:sz w:val="28"/>
        </w:rPr>
        <w:t xml:space="preserve"> </w:t>
      </w:r>
    </w:p>
    <w:p w14:paraId="238EE50A" w14:textId="77777777" w:rsidR="00C879EE" w:rsidRDefault="00000000">
      <w:pPr>
        <w:spacing w:after="60" w:line="390" w:lineRule="auto"/>
        <w:ind w:left="0" w:right="9350" w:firstLine="0"/>
      </w:pPr>
      <w:r>
        <w:t xml:space="preserve">  </w:t>
      </w:r>
    </w:p>
    <w:p w14:paraId="3BF57A96" w14:textId="77777777" w:rsidR="00C879EE" w:rsidRDefault="00000000">
      <w:pPr>
        <w:spacing w:after="112" w:line="259" w:lineRule="auto"/>
        <w:ind w:left="0" w:firstLine="0"/>
      </w:pPr>
      <w:r>
        <w:rPr>
          <w:rFonts w:ascii="Calibri" w:eastAsia="Calibri" w:hAnsi="Calibri" w:cs="Calibri"/>
          <w:b/>
          <w:color w:val="4F81BD"/>
          <w:sz w:val="28"/>
        </w:rPr>
        <w:t xml:space="preserve"> </w:t>
      </w:r>
    </w:p>
    <w:p w14:paraId="536CB10C" w14:textId="77777777" w:rsidR="00C879EE" w:rsidRDefault="00000000">
      <w:pPr>
        <w:spacing w:after="0" w:line="391" w:lineRule="auto"/>
        <w:ind w:left="0" w:right="9350" w:firstLine="0"/>
      </w:pPr>
      <w:r>
        <w:t xml:space="preserve">      </w:t>
      </w:r>
    </w:p>
    <w:p w14:paraId="0BD0EA10" w14:textId="77777777" w:rsidR="00C879EE" w:rsidRDefault="00000000">
      <w:pPr>
        <w:pStyle w:val="berschrift1"/>
        <w:numPr>
          <w:ilvl w:val="0"/>
          <w:numId w:val="0"/>
        </w:numPr>
        <w:ind w:left="-5"/>
        <w:pageBreakBefore/>
      </w:pPr>
      <w:r>
        <w:t xml:space="preserve">References </w:t>
      </w:r>
    </w:p>
    <w:p w14:paraId="68B00CFA" w14:textId="77777777" w:rsidR="00C879EE" w:rsidRDefault="00000000">
      <w:pPr>
        <w:spacing w:after="169" w:line="249" w:lineRule="auto"/>
        <w:ind w:left="-5" w:right="2"/>
      </w:pPr>
      <w:r>
        <w:t xml:space="preserve">Arute, Frank et al. 2019. “Quantum Supremacy Using a Programmable Superconducting Processor.” </w:t>
      </w:r>
      <w:r>
        <w:rPr>
          <w:i/>
        </w:rPr>
        <w:t>Nature</w:t>
      </w:r>
      <w:r>
        <w:t xml:space="preserve"> 574: 505–10. </w:t>
      </w:r>
      <w:hyperlink r:id="rId13">
        <w:r>
          <w:rPr>
            <w:color w:val="4F81BD"/>
          </w:rPr>
          <w:t>https://doi.org/10.1038/s41586</w:t>
        </w:r>
      </w:hyperlink>
      <w:hyperlink r:id="rId14">
        <w:r>
          <w:rPr>
            <w:color w:val="4F81BD"/>
          </w:rPr>
          <w:t>-</w:t>
        </w:r>
      </w:hyperlink>
      <w:hyperlink r:id="rId15">
        <w:r>
          <w:rPr>
            <w:color w:val="4F81BD"/>
          </w:rPr>
          <w:t>019</w:t>
        </w:r>
      </w:hyperlink>
      <w:hyperlink r:id="rId16">
        <w:r>
          <w:rPr>
            <w:color w:val="4F81BD"/>
          </w:rPr>
          <w:t>-</w:t>
        </w:r>
      </w:hyperlink>
      <w:hyperlink r:id="rId17">
        <w:r>
          <w:rPr>
            <w:color w:val="4F81BD"/>
          </w:rPr>
          <w:t>1666</w:t>
        </w:r>
      </w:hyperlink>
      <w:hyperlink r:id="rId18">
        <w:r>
          <w:rPr>
            <w:color w:val="4F81BD"/>
          </w:rPr>
          <w:t>-</w:t>
        </w:r>
      </w:hyperlink>
      <w:hyperlink r:id="rId19">
        <w:r>
          <w:rPr>
            <w:color w:val="4F81BD"/>
          </w:rPr>
          <w:t>5</w:t>
        </w:r>
      </w:hyperlink>
      <w:hyperlink r:id="rId20">
        <w:r>
          <w:t>.</w:t>
        </w:r>
      </w:hyperlink>
      <w:r>
        <w:t xml:space="preserve"> </w:t>
      </w:r>
    </w:p>
    <w:p w14:paraId="44EEB042" w14:textId="77777777" w:rsidR="00C879EE" w:rsidRDefault="00000000">
      <w:pPr>
        <w:spacing w:after="169" w:line="249" w:lineRule="auto"/>
        <w:ind w:left="-5" w:right="2"/>
      </w:pPr>
      <w:r>
        <w:t xml:space="preserve">Bothwell, Tobias et al. 2022. “Resolving the Gravitational Redshift Across a Millimetre-Scale Atomic Sample.” </w:t>
      </w:r>
      <w:r>
        <w:rPr>
          <w:i/>
        </w:rPr>
        <w:t>Nature</w:t>
      </w:r>
      <w:r>
        <w:t xml:space="preserve"> 602: 420–24. </w:t>
      </w:r>
      <w:hyperlink r:id="rId21">
        <w:r>
          <w:rPr>
            <w:color w:val="4F81BD"/>
          </w:rPr>
          <w:t>https://doi.org/10.1038/s41586</w:t>
        </w:r>
      </w:hyperlink>
      <w:hyperlink r:id="rId22">
        <w:r>
          <w:rPr>
            <w:color w:val="4F81BD"/>
          </w:rPr>
          <w:t>-</w:t>
        </w:r>
      </w:hyperlink>
      <w:hyperlink r:id="rId23">
        <w:r>
          <w:rPr>
            <w:color w:val="4F81BD"/>
          </w:rPr>
          <w:t>021</w:t>
        </w:r>
      </w:hyperlink>
      <w:hyperlink r:id="rId24">
        <w:r>
          <w:rPr>
            <w:color w:val="4F81BD"/>
          </w:rPr>
          <w:t>-</w:t>
        </w:r>
      </w:hyperlink>
      <w:hyperlink r:id="rId25">
        <w:r>
          <w:rPr>
            <w:color w:val="4F81BD"/>
          </w:rPr>
          <w:t>04349</w:t>
        </w:r>
      </w:hyperlink>
      <w:hyperlink r:id="rId26">
        <w:r>
          <w:rPr>
            <w:color w:val="4F81BD"/>
          </w:rPr>
          <w:t>-</w:t>
        </w:r>
      </w:hyperlink>
      <w:hyperlink r:id="rId27">
        <w:r>
          <w:rPr>
            <w:color w:val="4F81BD"/>
          </w:rPr>
          <w:t>7</w:t>
        </w:r>
      </w:hyperlink>
      <w:hyperlink r:id="rId28">
        <w:r>
          <w:t>.</w:t>
        </w:r>
      </w:hyperlink>
      <w:r>
        <w:t xml:space="preserve"> </w:t>
      </w:r>
    </w:p>
    <w:p w14:paraId="13EC9ADD" w14:textId="77777777" w:rsidR="00C879EE" w:rsidRDefault="00000000">
      <w:pPr>
        <w:spacing w:after="169" w:line="249" w:lineRule="auto"/>
        <w:ind w:left="-5" w:right="2"/>
      </w:pPr>
      <w:r>
        <w:t xml:space="preserve">Chou, C. W., D. B. Hume, T. Rosenband, and D. J. Wineland. 2010. “Optical Clocks and Relativity.” </w:t>
      </w:r>
      <w:r>
        <w:rPr>
          <w:i/>
        </w:rPr>
        <w:t>Science</w:t>
      </w:r>
      <w:r>
        <w:t xml:space="preserve"> 329: 1630–33. </w:t>
      </w:r>
      <w:hyperlink r:id="rId29">
        <w:r>
          <w:rPr>
            <w:color w:val="4F81BD"/>
          </w:rPr>
          <w:t>https://doi.org/10.1126/science.1192720</w:t>
        </w:r>
      </w:hyperlink>
      <w:hyperlink r:id="rId30">
        <w:r>
          <w:t>.</w:t>
        </w:r>
      </w:hyperlink>
      <w:r>
        <w:t xml:space="preserve"> </w:t>
      </w:r>
    </w:p>
    <w:p w14:paraId="76FDBD50" w14:textId="77777777" w:rsidR="00C879EE" w:rsidRDefault="00000000">
      <w:pPr>
        <w:ind w:left="-5"/>
      </w:pPr>
      <w:r>
        <w:lastRenderedPageBreak/>
        <w:t xml:space="preserve">Fowler, Austin G., Matteo Mariantoni, John M. Martinis, and Andrew N. Cleland. 2012. “Surface Codes: Towards Practical Large-Scale Quantum Computation.” </w:t>
      </w:r>
      <w:r>
        <w:rPr>
          <w:i/>
        </w:rPr>
        <w:t>Physical Review A</w:t>
      </w:r>
      <w:r>
        <w:t xml:space="preserve"> 86: 032324. </w:t>
      </w:r>
      <w:hyperlink r:id="rId31">
        <w:r>
          <w:rPr>
            <w:color w:val="4F81BD"/>
          </w:rPr>
          <w:t>https://doi.org/10.1103/PhysRevA.86.032324</w:t>
        </w:r>
      </w:hyperlink>
      <w:hyperlink r:id="rId32">
        <w:r>
          <w:t>.</w:t>
        </w:r>
      </w:hyperlink>
      <w:r>
        <w:t xml:space="preserve"> </w:t>
      </w:r>
    </w:p>
    <w:p w14:paraId="7F54ACA1" w14:textId="77777777" w:rsidR="00C879EE" w:rsidRDefault="00000000">
      <w:pPr>
        <w:spacing w:after="169" w:line="249" w:lineRule="auto"/>
        <w:ind w:left="-5" w:right="2"/>
      </w:pPr>
      <w:r>
        <w:t xml:space="preserve">Knill, Emanuel. 2005. “Quantum Computing with Realistically Noisy Devices.” </w:t>
      </w:r>
      <w:r>
        <w:rPr>
          <w:i/>
        </w:rPr>
        <w:t>Nature</w:t>
      </w:r>
      <w:r>
        <w:t xml:space="preserve"> 434: 39–44. </w:t>
      </w:r>
      <w:hyperlink r:id="rId33">
        <w:r>
          <w:rPr>
            <w:color w:val="4F81BD"/>
          </w:rPr>
          <w:t>https://doi.org/10.1038/nature03350</w:t>
        </w:r>
      </w:hyperlink>
      <w:hyperlink r:id="rId34">
        <w:r>
          <w:t>.</w:t>
        </w:r>
      </w:hyperlink>
      <w:r>
        <w:t xml:space="preserve"> </w:t>
      </w:r>
    </w:p>
    <w:p w14:paraId="6E6FA561" w14:textId="77777777" w:rsidR="00C879EE" w:rsidRDefault="00000000">
      <w:pPr>
        <w:spacing w:after="169" w:line="249" w:lineRule="auto"/>
        <w:ind w:left="-5" w:right="2"/>
      </w:pPr>
      <w:r>
        <w:t xml:space="preserve">Pound, R. V., and G. A. Rebka. 1960. “Apparent Weight of Photons.” </w:t>
      </w:r>
      <w:r>
        <w:rPr>
          <w:i/>
        </w:rPr>
        <w:t>Physical Review Letters</w:t>
      </w:r>
      <w:r>
        <w:t xml:space="preserve"> 4: 337–41. </w:t>
      </w:r>
      <w:hyperlink r:id="rId35">
        <w:r>
          <w:rPr>
            <w:color w:val="4F81BD"/>
          </w:rPr>
          <w:t>https://doi.org/10.1103/PhysRevLett.4.337</w:t>
        </w:r>
      </w:hyperlink>
      <w:hyperlink r:id="rId36">
        <w:r>
          <w:t>.</w:t>
        </w:r>
      </w:hyperlink>
      <w:r>
        <w:t xml:space="preserve"> </w:t>
      </w:r>
    </w:p>
    <w:p w14:paraId="4C28750C" w14:textId="77777777" w:rsidR="00C879EE" w:rsidRDefault="00000000">
      <w:pPr>
        <w:spacing w:after="169" w:line="249" w:lineRule="auto"/>
        <w:ind w:left="-5" w:right="2"/>
      </w:pPr>
      <w:r>
        <w:t xml:space="preserve">Preskill, John. 2018. “Quantum Computing in the NISQ Era and Beyond.” </w:t>
      </w:r>
      <w:r>
        <w:rPr>
          <w:i/>
        </w:rPr>
        <w:t>Quantum</w:t>
      </w:r>
      <w:r>
        <w:t xml:space="preserve"> 2: 79. </w:t>
      </w:r>
      <w:hyperlink r:id="rId37">
        <w:r>
          <w:rPr>
            <w:color w:val="4F81BD"/>
          </w:rPr>
          <w:t>https://doi.org/10.22331/q</w:t>
        </w:r>
      </w:hyperlink>
      <w:hyperlink r:id="rId38">
        <w:r>
          <w:rPr>
            <w:color w:val="4F81BD"/>
          </w:rPr>
          <w:t>-</w:t>
        </w:r>
      </w:hyperlink>
      <w:hyperlink r:id="rId39">
        <w:r>
          <w:rPr>
            <w:color w:val="4F81BD"/>
          </w:rPr>
          <w:t>2018</w:t>
        </w:r>
      </w:hyperlink>
      <w:hyperlink r:id="rId40">
        <w:r>
          <w:rPr>
            <w:color w:val="4F81BD"/>
          </w:rPr>
          <w:t>-</w:t>
        </w:r>
      </w:hyperlink>
      <w:hyperlink r:id="rId41">
        <w:r>
          <w:rPr>
            <w:color w:val="4F81BD"/>
          </w:rPr>
          <w:t>08</w:t>
        </w:r>
      </w:hyperlink>
      <w:hyperlink r:id="rId42">
        <w:r>
          <w:rPr>
            <w:color w:val="4F81BD"/>
          </w:rPr>
          <w:t>-</w:t>
        </w:r>
      </w:hyperlink>
      <w:hyperlink r:id="rId43">
        <w:r>
          <w:rPr>
            <w:color w:val="4F81BD"/>
          </w:rPr>
          <w:t>06</w:t>
        </w:r>
      </w:hyperlink>
      <w:hyperlink r:id="rId44">
        <w:r>
          <w:rPr>
            <w:color w:val="4F81BD"/>
          </w:rPr>
          <w:t>-</w:t>
        </w:r>
      </w:hyperlink>
      <w:hyperlink r:id="rId45">
        <w:r>
          <w:rPr>
            <w:color w:val="4F81BD"/>
          </w:rPr>
          <w:t>79</w:t>
        </w:r>
      </w:hyperlink>
      <w:hyperlink r:id="rId46">
        <w:r>
          <w:t>.</w:t>
        </w:r>
      </w:hyperlink>
      <w:r>
        <w:t xml:space="preserve"> </w:t>
      </w:r>
    </w:p>
    <w:p w14:paraId="471F1C1C" w14:textId="77777777" w:rsidR="00C879EE" w:rsidRDefault="00000000">
      <w:pPr>
        <w:spacing w:after="169" w:line="249" w:lineRule="auto"/>
        <w:ind w:left="-5" w:right="2"/>
      </w:pPr>
      <w:r>
        <w:t xml:space="preserve">Qiskit Contributors. 2024. “Qiskit: An Open-Source Framework for Quantum Computing.” </w:t>
      </w:r>
      <w:hyperlink r:id="rId47">
        <w:r>
          <w:rPr>
            <w:color w:val="4F81BD"/>
          </w:rPr>
          <w:t>https://qiskit.org</w:t>
        </w:r>
      </w:hyperlink>
      <w:hyperlink r:id="rId48">
        <w:r>
          <w:t>.</w:t>
        </w:r>
      </w:hyperlink>
      <w:hyperlink r:id="rId49">
        <w:r>
          <w:t xml:space="preserve"> </w:t>
        </w:r>
      </w:hyperlink>
      <w:hyperlink r:id="rId50">
        <w:r>
          <w:rPr>
            <w:color w:val="4F81BD"/>
          </w:rPr>
          <w:t>https://doi.org/10.5281/zenodo.2573505</w:t>
        </w:r>
      </w:hyperlink>
      <w:hyperlink r:id="rId51">
        <w:r>
          <w:t>.</w:t>
        </w:r>
      </w:hyperlink>
      <w:r>
        <w:t xml:space="preserve"> </w:t>
      </w:r>
    </w:p>
    <w:p w14:paraId="0F863458" w14:textId="77777777" w:rsidR="00C879EE" w:rsidRDefault="00000000">
      <w:pPr>
        <w:spacing w:after="169" w:line="249" w:lineRule="auto"/>
        <w:ind w:left="-5" w:right="2"/>
      </w:pPr>
      <w:r>
        <w:t xml:space="preserve">Shor, Peter W. 1995. “Scheme for Reducing Decoherence in Quantum Computer Memory.” </w:t>
      </w:r>
      <w:r>
        <w:rPr>
          <w:i/>
        </w:rPr>
        <w:t>Physical Review A</w:t>
      </w:r>
      <w:r>
        <w:t xml:space="preserve"> 52: R2493–96. </w:t>
      </w:r>
      <w:hyperlink r:id="rId52">
        <w:r>
          <w:rPr>
            <w:color w:val="4F81BD"/>
          </w:rPr>
          <w:t>https://doi.org/10.1103/PhysRevA.52.R2493</w:t>
        </w:r>
      </w:hyperlink>
      <w:hyperlink r:id="rId53">
        <w:r>
          <w:t>.</w:t>
        </w:r>
      </w:hyperlink>
      <w:r>
        <w:t xml:space="preserve"> </w:t>
      </w:r>
    </w:p>
    <w:p w14:paraId="2A92C31A" w14:textId="77777777" w:rsidR="00C879EE" w:rsidRDefault="00000000">
      <w:pPr>
        <w:spacing w:after="0" w:line="249" w:lineRule="auto"/>
        <w:ind w:left="-5" w:right="2"/>
      </w:pPr>
      <w:r>
        <w:t xml:space="preserve">Takamoto, Masao et al. 2020. “Test of General Relativity by a Pair of Transportable Optical Lattice Clocks.” </w:t>
      </w:r>
      <w:r>
        <w:rPr>
          <w:i/>
        </w:rPr>
        <w:t>Nature Photonics</w:t>
      </w:r>
      <w:r>
        <w:t xml:space="preserve"> 14: 411–15. </w:t>
      </w:r>
      <w:hyperlink r:id="rId54">
        <w:r>
          <w:rPr>
            <w:color w:val="4F81BD"/>
          </w:rPr>
          <w:t>https://doi.org/10.1038/s41566</w:t>
        </w:r>
      </w:hyperlink>
      <w:hyperlink r:id="rId55">
        <w:r>
          <w:rPr>
            <w:color w:val="4F81BD"/>
          </w:rPr>
          <w:t>-</w:t>
        </w:r>
      </w:hyperlink>
      <w:hyperlink r:id="rId56">
        <w:r>
          <w:rPr>
            <w:color w:val="4F81BD"/>
          </w:rPr>
          <w:t>020</w:t>
        </w:r>
      </w:hyperlink>
      <w:hyperlink r:id="rId57">
        <w:r>
          <w:rPr>
            <w:color w:val="4F81BD"/>
          </w:rPr>
          <w:t>-</w:t>
        </w:r>
      </w:hyperlink>
      <w:hyperlink r:id="rId58">
        <w:r>
          <w:rPr>
            <w:color w:val="4F81BD"/>
          </w:rPr>
          <w:t>0619</w:t>
        </w:r>
      </w:hyperlink>
      <w:hyperlink r:id="rId59">
        <w:r>
          <w:rPr>
            <w:color w:val="4F81BD"/>
          </w:rPr>
          <w:t>-</w:t>
        </w:r>
      </w:hyperlink>
    </w:p>
    <w:p w14:paraId="5B537996" w14:textId="77777777" w:rsidR="00C879EE" w:rsidRDefault="00000000">
      <w:pPr>
        <w:ind w:left="-5"/>
      </w:pPr>
      <w:hyperlink r:id="rId60">
        <w:r>
          <w:rPr>
            <w:color w:val="4F81BD"/>
          </w:rPr>
          <w:t>8</w:t>
        </w:r>
      </w:hyperlink>
      <w:hyperlink r:id="rId61">
        <w:r>
          <w:t>.</w:t>
        </w:r>
      </w:hyperlink>
      <w:r>
        <w:t xml:space="preserve"> </w:t>
      </w:r>
    </w:p>
    <w:p w14:paraId="2C6C51BA" w14:textId="77777777" w:rsidR="00C879EE" w:rsidRDefault="00000000">
      <w:pPr>
        <w:spacing w:after="169" w:line="249" w:lineRule="auto"/>
        <w:ind w:left="-5" w:right="2"/>
      </w:pPr>
      <w:r>
        <w:t xml:space="preserve">Will, Clifford M. 2014. “The Confrontation Between General Relativity and Experiment.” </w:t>
      </w:r>
      <w:r>
        <w:rPr>
          <w:i/>
        </w:rPr>
        <w:t>Living Reviews in Relativity</w:t>
      </w:r>
      <w:r>
        <w:t xml:space="preserve"> 17: 4. </w:t>
      </w:r>
      <w:hyperlink r:id="rId62">
        <w:r>
          <w:rPr>
            <w:color w:val="4F81BD"/>
          </w:rPr>
          <w:t>https://doi.org/10.12942/lrr</w:t>
        </w:r>
      </w:hyperlink>
      <w:hyperlink r:id="rId63">
        <w:r>
          <w:rPr>
            <w:color w:val="4F81BD"/>
          </w:rPr>
          <w:t>-</w:t>
        </w:r>
      </w:hyperlink>
      <w:hyperlink r:id="rId64">
        <w:r>
          <w:rPr>
            <w:color w:val="4F81BD"/>
          </w:rPr>
          <w:t>2014</w:t>
        </w:r>
      </w:hyperlink>
      <w:hyperlink r:id="rId65">
        <w:r>
          <w:rPr>
            <w:color w:val="4F81BD"/>
          </w:rPr>
          <w:t>-</w:t>
        </w:r>
      </w:hyperlink>
      <w:hyperlink r:id="rId66">
        <w:r>
          <w:rPr>
            <w:color w:val="4F81BD"/>
          </w:rPr>
          <w:t>4</w:t>
        </w:r>
      </w:hyperlink>
      <w:hyperlink r:id="rId67">
        <w:r>
          <w:t>.</w:t>
        </w:r>
      </w:hyperlink>
      <w:r>
        <w:t xml:space="preserve"> </w:t>
      </w:r>
    </w:p>
    <w:p w14:paraId="52880511" w14:textId="77777777" w:rsidR="00C879EE" w:rsidRDefault="00000000">
      <w:pPr>
        <w:spacing w:after="169" w:line="249" w:lineRule="auto"/>
        <w:ind w:left="-5" w:right="2"/>
      </w:pPr>
      <w:r>
        <w:t xml:space="preserve">Wrede, Carmen, and Lino Casu. 2025a. “SSZ-Metric-Pure: Complete Mathematical Framework for Segmented Spacetime.” </w:t>
      </w:r>
      <w:hyperlink r:id="rId68">
        <w:r>
          <w:rPr>
            <w:color w:val="4F81BD"/>
          </w:rPr>
          <w:t>https://github.com/error</w:t>
        </w:r>
      </w:hyperlink>
      <w:hyperlink r:id="rId69">
        <w:r>
          <w:rPr>
            <w:color w:val="4F81BD"/>
          </w:rPr>
          <w:t>-</w:t>
        </w:r>
      </w:hyperlink>
      <w:hyperlink r:id="rId70">
        <w:r>
          <w:rPr>
            <w:color w:val="4F81BD"/>
          </w:rPr>
          <w:t>wtf/ssz</w:t>
        </w:r>
      </w:hyperlink>
      <w:hyperlink r:id="rId71">
        <w:r>
          <w:rPr>
            <w:color w:val="4F81BD"/>
          </w:rPr>
          <w:t>-</w:t>
        </w:r>
      </w:hyperlink>
      <w:hyperlink r:id="rId72">
        <w:r>
          <w:rPr>
            <w:color w:val="4F81BD"/>
          </w:rPr>
          <w:t>metric</w:t>
        </w:r>
      </w:hyperlink>
      <w:hyperlink r:id="rId73">
        <w:r>
          <w:rPr>
            <w:color w:val="4F81BD"/>
          </w:rPr>
          <w:t>-</w:t>
        </w:r>
      </w:hyperlink>
      <w:hyperlink r:id="rId74">
        <w:r>
          <w:rPr>
            <w:color w:val="4F81BD"/>
          </w:rPr>
          <w:t>pure</w:t>
        </w:r>
      </w:hyperlink>
      <w:hyperlink r:id="rId75">
        <w:r>
          <w:t>;</w:t>
        </w:r>
      </w:hyperlink>
      <w:r>
        <w:t xml:space="preserve"> GitHub. </w:t>
      </w:r>
    </w:p>
    <w:p w14:paraId="4737355E" w14:textId="77777777" w:rsidR="00C879EE" w:rsidRDefault="00000000">
      <w:pPr>
        <w:spacing w:after="169" w:line="249" w:lineRule="auto"/>
        <w:ind w:left="-5" w:right="2"/>
      </w:pPr>
      <w:r>
        <w:t xml:space="preserve">Wrede, Carmen, and Lino Casu. 2025b. “SSZ-Qubits: Segmented Spacetime Framework for Quantum Computing Applications.” </w:t>
      </w:r>
      <w:hyperlink r:id="rId76">
        <w:r>
          <w:rPr>
            <w:color w:val="4F81BD"/>
          </w:rPr>
          <w:t>https://github.com/error</w:t>
        </w:r>
      </w:hyperlink>
      <w:hyperlink r:id="rId77">
        <w:r>
          <w:rPr>
            <w:color w:val="4F81BD"/>
          </w:rPr>
          <w:t>-</w:t>
        </w:r>
      </w:hyperlink>
      <w:hyperlink r:id="rId78">
        <w:r>
          <w:rPr>
            <w:color w:val="4F81BD"/>
          </w:rPr>
          <w:t>wtf/ssz</w:t>
        </w:r>
      </w:hyperlink>
      <w:hyperlink r:id="rId79">
        <w:r>
          <w:rPr>
            <w:color w:val="4F81BD"/>
          </w:rPr>
          <w:t>-</w:t>
        </w:r>
      </w:hyperlink>
      <w:hyperlink r:id="rId80">
        <w:r>
          <w:rPr>
            <w:color w:val="4F81BD"/>
          </w:rPr>
          <w:t>qubits</w:t>
        </w:r>
      </w:hyperlink>
      <w:hyperlink r:id="rId81">
        <w:r>
          <w:t>;</w:t>
        </w:r>
      </w:hyperlink>
      <w:r>
        <w:t xml:space="preserve"> GitHub. </w:t>
      </w:r>
    </w:p>
    <w:p w14:paraId="2C0728F9" w14:textId="77777777" w:rsidR="00C879EE" w:rsidRDefault="00000000">
      <w:pPr>
        <w:spacing w:after="181" w:line="238" w:lineRule="auto"/>
        <w:ind w:left="-5" w:right="372"/>
      </w:pPr>
      <w:r>
        <w:t xml:space="preserve">IonQ. 2025. “IonQ Achieves World’s Highest Two-Qubit Gate Fidelity.” </w:t>
      </w:r>
      <w:r>
        <w:rPr>
          <w:i/>
        </w:rPr>
        <w:t>HPCwire</w:t>
      </w:r>
      <w:r>
        <w:t xml:space="preserve"> (October 21, 2025). Accessed December 2025. </w:t>
      </w:r>
      <w:hyperlink r:id="rId82">
        <w:r>
          <w:rPr>
            <w:color w:val="4F81BD"/>
          </w:rPr>
          <w:t>https://www.hpcwire.com/2025/10/21/ionq</w:t>
        </w:r>
      </w:hyperlink>
      <w:hyperlink r:id="rId83">
        <w:r>
          <w:rPr>
            <w:color w:val="4F81BD"/>
          </w:rPr>
          <w:t>-</w:t>
        </w:r>
      </w:hyperlink>
      <w:hyperlink r:id="rId84">
        <w:r>
          <w:rPr>
            <w:color w:val="4F81BD"/>
          </w:rPr>
          <w:t>achieves</w:t>
        </w:r>
      </w:hyperlink>
      <w:hyperlink r:id="rId85">
        <w:r>
          <w:rPr>
            <w:color w:val="4F81BD"/>
          </w:rPr>
          <w:t>-</w:t>
        </w:r>
      </w:hyperlink>
      <w:hyperlink r:id="rId86">
        <w:r>
          <w:rPr>
            <w:color w:val="4F81BD"/>
          </w:rPr>
          <w:t>worlds</w:t>
        </w:r>
      </w:hyperlink>
      <w:hyperlink r:id="rId87">
        <w:r>
          <w:rPr>
            <w:color w:val="4F81BD"/>
          </w:rPr>
          <w:t>-</w:t>
        </w:r>
      </w:hyperlink>
      <w:hyperlink r:id="rId88">
        <w:r>
          <w:rPr>
            <w:color w:val="4F81BD"/>
          </w:rPr>
          <w:t>highest</w:t>
        </w:r>
      </w:hyperlink>
      <w:hyperlink r:id="rId89">
        <w:r>
          <w:rPr>
            <w:color w:val="4F81BD"/>
          </w:rPr>
          <w:t>-</w:t>
        </w:r>
      </w:hyperlink>
      <w:hyperlink r:id="rId90">
        <w:r>
          <w:rPr>
            <w:color w:val="4F81BD"/>
          </w:rPr>
          <w:t>two</w:t>
        </w:r>
      </w:hyperlink>
      <w:hyperlink r:id="rId91">
        <w:r>
          <w:rPr>
            <w:color w:val="4F81BD"/>
          </w:rPr>
          <w:t>-</w:t>
        </w:r>
      </w:hyperlink>
      <w:hyperlink r:id="rId92">
        <w:r>
          <w:rPr>
            <w:color w:val="4F81BD"/>
          </w:rPr>
          <w:t>qubit</w:t>
        </w:r>
      </w:hyperlink>
      <w:hyperlink r:id="rId93">
        <w:r>
          <w:rPr>
            <w:color w:val="4F81BD"/>
          </w:rPr>
          <w:t>-</w:t>
        </w:r>
      </w:hyperlink>
      <w:hyperlink r:id="rId94">
        <w:r>
          <w:rPr>
            <w:color w:val="4F81BD"/>
          </w:rPr>
          <w:t>gate</w:t>
        </w:r>
      </w:hyperlink>
      <w:hyperlink r:id="rId95"/>
      <w:hyperlink r:id="rId96">
        <w:r>
          <w:rPr>
            <w:color w:val="4F81BD"/>
          </w:rPr>
          <w:t>fidelity/</w:t>
        </w:r>
      </w:hyperlink>
      <w:hyperlink r:id="rId97">
        <w:r>
          <w:t>.</w:t>
        </w:r>
      </w:hyperlink>
      <w:r>
        <w:t xml:space="preserve"> </w:t>
      </w:r>
    </w:p>
    <w:p w14:paraId="29BB996C" w14:textId="77777777" w:rsidR="00C879EE" w:rsidRDefault="00000000">
      <w:pPr>
        <w:spacing w:after="169" w:line="249" w:lineRule="auto"/>
        <w:ind w:left="-5" w:right="2"/>
      </w:pPr>
      <w:r>
        <w:t>IBM Quantum. 2024. "IBM Quantum System Two." https://www.ibm.com/quantum/systems</w:t>
      </w:r>
      <w:hyperlink r:id="rId98">
        <w:r>
          <w:rPr>
            <w:color w:val="4F81BD"/>
          </w:rPr>
          <w:t>https://quantumzeitgeist.com/what</w:t>
        </w:r>
      </w:hyperlink>
      <w:hyperlink r:id="rId99"/>
      <w:hyperlink r:id="rId100">
        <w:r>
          <w:rPr>
            <w:color w:val="4F81BD"/>
          </w:rPr>
          <w:t>are</w:t>
        </w:r>
      </w:hyperlink>
      <w:hyperlink r:id="rId101">
        <w:r>
          <w:rPr>
            <w:color w:val="4F81BD"/>
          </w:rPr>
          <w:t>-</w:t>
        </w:r>
      </w:hyperlink>
      <w:hyperlink r:id="rId102">
        <w:r>
          <w:rPr>
            <w:color w:val="4F81BD"/>
          </w:rPr>
          <w:t>the</w:t>
        </w:r>
      </w:hyperlink>
      <w:hyperlink r:id="rId103">
        <w:r>
          <w:rPr>
            <w:color w:val="4F81BD"/>
          </w:rPr>
          <w:t>-</w:t>
        </w:r>
      </w:hyperlink>
      <w:hyperlink r:id="rId104">
        <w:r>
          <w:rPr>
            <w:color w:val="4F81BD"/>
          </w:rPr>
          <w:t>worlds</w:t>
        </w:r>
      </w:hyperlink>
      <w:hyperlink r:id="rId105">
        <w:r>
          <w:rPr>
            <w:color w:val="4F81BD"/>
          </w:rPr>
          <w:t>-</w:t>
        </w:r>
      </w:hyperlink>
      <w:hyperlink r:id="rId106">
        <w:r>
          <w:rPr>
            <w:color w:val="4F81BD"/>
          </w:rPr>
          <w:t>most</w:t>
        </w:r>
      </w:hyperlink>
      <w:hyperlink r:id="rId107">
        <w:r>
          <w:rPr>
            <w:color w:val="4F81BD"/>
          </w:rPr>
          <w:t>-</w:t>
        </w:r>
      </w:hyperlink>
      <w:hyperlink r:id="rId108">
        <w:r>
          <w:rPr>
            <w:color w:val="4F81BD"/>
          </w:rPr>
          <w:t>powerful</w:t>
        </w:r>
      </w:hyperlink>
      <w:hyperlink r:id="rId109">
        <w:r>
          <w:rPr>
            <w:color w:val="4F81BD"/>
          </w:rPr>
          <w:t>-</w:t>
        </w:r>
      </w:hyperlink>
      <w:hyperlink r:id="rId110">
        <w:r>
          <w:rPr>
            <w:color w:val="4F81BD"/>
          </w:rPr>
          <w:t>quantum</w:t>
        </w:r>
      </w:hyperlink>
      <w:hyperlink r:id="rId111">
        <w:r>
          <w:rPr>
            <w:color w:val="4F81BD"/>
          </w:rPr>
          <w:t>-</w:t>
        </w:r>
      </w:hyperlink>
      <w:hyperlink r:id="rId112">
        <w:r>
          <w:rPr>
            <w:color w:val="4F81BD"/>
          </w:rPr>
          <w:t>computers</w:t>
        </w:r>
      </w:hyperlink>
      <w:hyperlink r:id="rId113">
        <w:r>
          <w:rPr>
            <w:color w:val="4F81BD"/>
          </w:rPr>
          <w:t>-</w:t>
        </w:r>
      </w:hyperlink>
      <w:hyperlink r:id="rId114">
        <w:r>
          <w:rPr>
            <w:color w:val="4F81BD"/>
          </w:rPr>
          <w:t>in</w:t>
        </w:r>
      </w:hyperlink>
      <w:hyperlink r:id="rId115">
        <w:r>
          <w:rPr>
            <w:color w:val="4F81BD"/>
          </w:rPr>
          <w:t>-</w:t>
        </w:r>
      </w:hyperlink>
      <w:hyperlink r:id="rId116">
        <w:r>
          <w:rPr>
            <w:color w:val="4F81BD"/>
          </w:rPr>
          <w:t>2025/</w:t>
        </w:r>
      </w:hyperlink>
      <w:hyperlink r:id="rId117">
        <w:r>
          <w:t>.</w:t>
        </w:r>
      </w:hyperlink>
      <w:r>
        <w:t xml:space="preserve"> </w:t>
      </w:r>
    </w:p>
    <w:p w14:paraId="1CF98A38" w14:textId="77777777" w:rsidR="00C879EE" w:rsidRDefault="00000000">
      <w:pPr>
        <w:spacing w:after="181" w:line="238" w:lineRule="auto"/>
        <w:ind w:left="-5"/>
      </w:pPr>
      <w:r>
        <w:t xml:space="preserve">Rigetti. 2022. “Rigetti Achieves 99.5 % Two-Qubit Gate Fidelity on Next-Generation Architecture.” </w:t>
      </w:r>
      <w:r>
        <w:rPr>
          <w:i/>
        </w:rPr>
        <w:t>HPCwire</w:t>
      </w:r>
      <w:r>
        <w:t xml:space="preserve"> (February 17, 2022). Accessed December 2025. </w:t>
      </w:r>
      <w:hyperlink r:id="rId118">
        <w:r>
          <w:rPr>
            <w:color w:val="4F81BD"/>
          </w:rPr>
          <w:t>https://www.hpcwire.com/2022/02/17/rigetti</w:t>
        </w:r>
      </w:hyperlink>
      <w:hyperlink r:id="rId119">
        <w:r>
          <w:rPr>
            <w:color w:val="4F81BD"/>
          </w:rPr>
          <w:t>-</w:t>
        </w:r>
      </w:hyperlink>
      <w:hyperlink r:id="rId120">
        <w:r>
          <w:rPr>
            <w:color w:val="4F81BD"/>
          </w:rPr>
          <w:t>achieves</w:t>
        </w:r>
      </w:hyperlink>
      <w:hyperlink r:id="rId121">
        <w:r>
          <w:rPr>
            <w:color w:val="4F81BD"/>
          </w:rPr>
          <w:t>-</w:t>
        </w:r>
      </w:hyperlink>
      <w:hyperlink r:id="rId122">
        <w:r>
          <w:rPr>
            <w:color w:val="4F81BD"/>
          </w:rPr>
          <w:t>99</w:t>
        </w:r>
      </w:hyperlink>
      <w:hyperlink r:id="rId123">
        <w:r>
          <w:rPr>
            <w:color w:val="4F81BD"/>
          </w:rPr>
          <w:t>-</w:t>
        </w:r>
      </w:hyperlink>
      <w:hyperlink r:id="rId124">
        <w:r>
          <w:rPr>
            <w:color w:val="4F81BD"/>
          </w:rPr>
          <w:t>5</w:t>
        </w:r>
      </w:hyperlink>
      <w:hyperlink r:id="rId125">
        <w:r>
          <w:rPr>
            <w:color w:val="4F81BD"/>
          </w:rPr>
          <w:t>-</w:t>
        </w:r>
      </w:hyperlink>
      <w:hyperlink r:id="rId126">
        <w:r>
          <w:rPr>
            <w:color w:val="4F81BD"/>
          </w:rPr>
          <w:t>two</w:t>
        </w:r>
      </w:hyperlink>
      <w:hyperlink r:id="rId127">
        <w:r>
          <w:rPr>
            <w:color w:val="4F81BD"/>
          </w:rPr>
          <w:t>-</w:t>
        </w:r>
      </w:hyperlink>
      <w:hyperlink r:id="rId128">
        <w:r>
          <w:rPr>
            <w:color w:val="4F81BD"/>
          </w:rPr>
          <w:t>qubit</w:t>
        </w:r>
      </w:hyperlink>
      <w:hyperlink r:id="rId129">
        <w:r>
          <w:rPr>
            <w:color w:val="4F81BD"/>
          </w:rPr>
          <w:t>-</w:t>
        </w:r>
      </w:hyperlink>
      <w:hyperlink r:id="rId130">
        <w:r>
          <w:rPr>
            <w:color w:val="4F81BD"/>
          </w:rPr>
          <w:t>gate</w:t>
        </w:r>
      </w:hyperlink>
      <w:hyperlink r:id="rId131">
        <w:r>
          <w:rPr>
            <w:color w:val="4F81BD"/>
          </w:rPr>
          <w:t>-</w:t>
        </w:r>
      </w:hyperlink>
      <w:hyperlink r:id="rId132">
        <w:r>
          <w:rPr>
            <w:color w:val="4F81BD"/>
          </w:rPr>
          <w:t>fidelity</w:t>
        </w:r>
      </w:hyperlink>
      <w:hyperlink r:id="rId133">
        <w:r>
          <w:rPr>
            <w:color w:val="4F81BD"/>
          </w:rPr>
          <w:t>-</w:t>
        </w:r>
      </w:hyperlink>
      <w:hyperlink r:id="rId134">
        <w:r>
          <w:rPr>
            <w:color w:val="4F81BD"/>
          </w:rPr>
          <w:t>on</w:t>
        </w:r>
      </w:hyperlink>
      <w:hyperlink r:id="rId135"/>
      <w:hyperlink r:id="rId136">
        <w:r>
          <w:rPr>
            <w:color w:val="4F81BD"/>
          </w:rPr>
          <w:t>next</w:t>
        </w:r>
      </w:hyperlink>
      <w:hyperlink r:id="rId137">
        <w:r>
          <w:rPr>
            <w:color w:val="4F81BD"/>
          </w:rPr>
          <w:t>-</w:t>
        </w:r>
      </w:hyperlink>
      <w:hyperlink r:id="rId138">
        <w:r>
          <w:rPr>
            <w:color w:val="4F81BD"/>
          </w:rPr>
          <w:t>generation</w:t>
        </w:r>
      </w:hyperlink>
      <w:hyperlink r:id="rId139">
        <w:r>
          <w:rPr>
            <w:color w:val="4F81BD"/>
          </w:rPr>
          <w:t>-</w:t>
        </w:r>
      </w:hyperlink>
      <w:hyperlink r:id="rId140">
        <w:r>
          <w:rPr>
            <w:color w:val="4F81BD"/>
          </w:rPr>
          <w:t>architecture/</w:t>
        </w:r>
      </w:hyperlink>
      <w:hyperlink r:id="rId141">
        <w:r>
          <w:t>.</w:t>
        </w:r>
      </w:hyperlink>
      <w:r>
        <w:t xml:space="preserve"> </w:t>
      </w:r>
    </w:p>
    <w:p w14:paraId="2C3852D9" w14:textId="77777777" w:rsidR="00C879EE" w:rsidRDefault="00000000">
      <w:pPr>
        <w:spacing w:after="169" w:line="249" w:lineRule="auto"/>
        <w:ind w:left="-5" w:right="2"/>
      </w:pPr>
      <w:r>
        <w:t xml:space="preserve">Cepollaro, Carlo, Flaminia Giacomini, and Matteo G.A. Paris. 2023. “Gravitational Time Dilation as a Resource in Quantum Sensing.” </w:t>
      </w:r>
      <w:r>
        <w:rPr>
          <w:i/>
        </w:rPr>
        <w:t>Quantum</w:t>
      </w:r>
      <w:r>
        <w:t xml:space="preserve"> 7: 946. </w:t>
      </w:r>
      <w:hyperlink r:id="rId142">
        <w:r>
          <w:rPr>
            <w:color w:val="4F81BD"/>
          </w:rPr>
          <w:t>https://doi.org/10.22331/q</w:t>
        </w:r>
      </w:hyperlink>
      <w:hyperlink r:id="rId143"/>
      <w:hyperlink r:id="rId144">
        <w:r>
          <w:rPr>
            <w:color w:val="4F81BD"/>
          </w:rPr>
          <w:t>2023</w:t>
        </w:r>
      </w:hyperlink>
      <w:hyperlink r:id="rId145">
        <w:r>
          <w:rPr>
            <w:color w:val="4F81BD"/>
          </w:rPr>
          <w:t>-</w:t>
        </w:r>
      </w:hyperlink>
      <w:hyperlink r:id="rId146">
        <w:r>
          <w:rPr>
            <w:color w:val="4F81BD"/>
          </w:rPr>
          <w:t>03</w:t>
        </w:r>
      </w:hyperlink>
      <w:hyperlink r:id="rId147">
        <w:r>
          <w:rPr>
            <w:color w:val="4F81BD"/>
          </w:rPr>
          <w:t>-</w:t>
        </w:r>
      </w:hyperlink>
      <w:hyperlink r:id="rId148">
        <w:r>
          <w:rPr>
            <w:color w:val="4F81BD"/>
          </w:rPr>
          <w:t>13</w:t>
        </w:r>
      </w:hyperlink>
      <w:hyperlink r:id="rId149">
        <w:r>
          <w:rPr>
            <w:color w:val="4F81BD"/>
          </w:rPr>
          <w:t>-</w:t>
        </w:r>
      </w:hyperlink>
      <w:hyperlink r:id="rId150">
        <w:r>
          <w:rPr>
            <w:color w:val="4F81BD"/>
          </w:rPr>
          <w:t>946</w:t>
        </w:r>
      </w:hyperlink>
      <w:hyperlink r:id="rId151">
        <w:r>
          <w:t>.</w:t>
        </w:r>
      </w:hyperlink>
      <w:r>
        <w:t xml:space="preserve"> </w:t>
      </w:r>
    </w:p>
    <w:sectPr w:rsidR="00C879EE">
      <w:pgSz w:w="12240" w:h="15840"/>
      <w:pgMar w:top="1417" w:right="1420" w:bottom="1154"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4409E"/>
    <w:multiLevelType w:val="hybridMultilevel"/>
    <w:tmpl w:val="3BE40F58"/>
    <w:lvl w:ilvl="0" w:tplc="F872D6D0">
      <w:start w:val="1"/>
      <w:numFmt w:val="decimal"/>
      <w:lvlText w:val="%1"/>
      <w:lvlJc w:val="left"/>
      <w:pPr>
        <w:ind w:left="3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9656E092">
      <w:start w:val="1"/>
      <w:numFmt w:val="decimal"/>
      <w:lvlRestart w:val="0"/>
      <w:lvlText w:val="%2."/>
      <w:lvlJc w:val="left"/>
      <w:pPr>
        <w:ind w:left="7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04D4B5CC">
      <w:start w:val="1"/>
      <w:numFmt w:val="lowerRoman"/>
      <w:lvlText w:val="%3"/>
      <w:lvlJc w:val="left"/>
      <w:pPr>
        <w:ind w:left="1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E8DA934A">
      <w:start w:val="1"/>
      <w:numFmt w:val="decimal"/>
      <w:lvlText w:val="%4"/>
      <w:lvlJc w:val="left"/>
      <w:pPr>
        <w:ind w:left="2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1862A946">
      <w:start w:val="1"/>
      <w:numFmt w:val="lowerLetter"/>
      <w:lvlText w:val="%5"/>
      <w:lvlJc w:val="left"/>
      <w:pPr>
        <w:ind w:left="2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6BE6BF8A">
      <w:start w:val="1"/>
      <w:numFmt w:val="lowerRoman"/>
      <w:lvlText w:val="%6"/>
      <w:lvlJc w:val="left"/>
      <w:pPr>
        <w:ind w:left="3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C3AC35DC">
      <w:start w:val="1"/>
      <w:numFmt w:val="decimal"/>
      <w:lvlText w:val="%7"/>
      <w:lvlJc w:val="left"/>
      <w:pPr>
        <w:ind w:left="42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A8741EE2">
      <w:start w:val="1"/>
      <w:numFmt w:val="lowerLetter"/>
      <w:lvlText w:val="%8"/>
      <w:lvlJc w:val="left"/>
      <w:pPr>
        <w:ind w:left="49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31A0189E">
      <w:start w:val="1"/>
      <w:numFmt w:val="lowerRoman"/>
      <w:lvlText w:val="%9"/>
      <w:lvlJc w:val="left"/>
      <w:pPr>
        <w:ind w:left="56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8401718"/>
    <w:multiLevelType w:val="multilevel"/>
    <w:tmpl w:val="56460C40"/>
    <w:lvl w:ilvl="0">
      <w:start w:val="1"/>
      <w:numFmt w:val="decimal"/>
      <w:pStyle w:val="berschrift1"/>
      <w:lvlText w:val="%1"/>
      <w:lvlJc w:val="left"/>
      <w:pPr>
        <w:ind w:left="0"/>
      </w:pPr>
      <w:rPr>
        <w:rFonts w:ascii="Calibri" w:eastAsia="Calibri" w:hAnsi="Calibri" w:cs="Calibri"/>
        <w:b/>
        <w:bCs/>
        <w:i w:val="0"/>
        <w:strike w:val="0"/>
        <w:dstrike w:val="0"/>
        <w:color w:val="4F81BD"/>
        <w:sz w:val="28"/>
        <w:szCs w:val="28"/>
        <w:u w:val="none" w:color="000000"/>
        <w:bdr w:val="none" w:sz="0" w:space="0" w:color="auto"/>
        <w:shd w:val="clear" w:color="auto" w:fill="auto"/>
        <w:vertAlign w:val="baseline"/>
      </w:rPr>
    </w:lvl>
    <w:lvl w:ilvl="1">
      <w:start w:val="1"/>
      <w:numFmt w:val="decimal"/>
      <w:pStyle w:val="berschrift2"/>
      <w:lvlText w:val="%1.%2"/>
      <w:lvlJc w:val="left"/>
      <w:pPr>
        <w:ind w:left="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abstractNum>
  <w:abstractNum w:abstractNumId="2" w15:restartNumberingAfterBreak="0">
    <w:nsid w:val="1A223E88"/>
    <w:multiLevelType w:val="hybridMultilevel"/>
    <w:tmpl w:val="3192F9A4"/>
    <w:lvl w:ilvl="0" w:tplc="D56AC8D8">
      <w:start w:val="1"/>
      <w:numFmt w:val="decimal"/>
      <w:lvlText w:val="%1."/>
      <w:lvlJc w:val="left"/>
      <w:pPr>
        <w:ind w:left="7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7DEADE02">
      <w:start w:val="1"/>
      <w:numFmt w:val="lowerLetter"/>
      <w:lvlText w:val="%2"/>
      <w:lvlJc w:val="left"/>
      <w:pPr>
        <w:ind w:left="1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9A66C46E">
      <w:start w:val="1"/>
      <w:numFmt w:val="lowerRoman"/>
      <w:lvlText w:val="%3"/>
      <w:lvlJc w:val="left"/>
      <w:pPr>
        <w:ind w:left="2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25047EE4">
      <w:start w:val="1"/>
      <w:numFmt w:val="decimal"/>
      <w:lvlText w:val="%4"/>
      <w:lvlJc w:val="left"/>
      <w:pPr>
        <w:ind w:left="2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61A21FA6">
      <w:start w:val="1"/>
      <w:numFmt w:val="lowerLetter"/>
      <w:lvlText w:val="%5"/>
      <w:lvlJc w:val="left"/>
      <w:pPr>
        <w:ind w:left="3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853CC5C8">
      <w:start w:val="1"/>
      <w:numFmt w:val="lowerRoman"/>
      <w:lvlText w:val="%6"/>
      <w:lvlJc w:val="left"/>
      <w:pPr>
        <w:ind w:left="42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2E92183E">
      <w:start w:val="1"/>
      <w:numFmt w:val="decimal"/>
      <w:lvlText w:val="%7"/>
      <w:lvlJc w:val="left"/>
      <w:pPr>
        <w:ind w:left="49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4E2A2E74">
      <w:start w:val="1"/>
      <w:numFmt w:val="lowerLetter"/>
      <w:lvlText w:val="%8"/>
      <w:lvlJc w:val="left"/>
      <w:pPr>
        <w:ind w:left="56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84AC298E">
      <w:start w:val="1"/>
      <w:numFmt w:val="lowerRoman"/>
      <w:lvlText w:val="%9"/>
      <w:lvlJc w:val="left"/>
      <w:pPr>
        <w:ind w:left="63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C4A6D7B"/>
    <w:multiLevelType w:val="hybridMultilevel"/>
    <w:tmpl w:val="87B6F918"/>
    <w:lvl w:ilvl="0" w:tplc="B402321E">
      <w:start w:val="1"/>
      <w:numFmt w:val="decimal"/>
      <w:lvlText w:val="%1"/>
      <w:lvlJc w:val="left"/>
      <w:pPr>
        <w:ind w:left="3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F254175E">
      <w:start w:val="4"/>
      <w:numFmt w:val="decimal"/>
      <w:lvlRestart w:val="0"/>
      <w:lvlText w:val="%2."/>
      <w:lvlJc w:val="left"/>
      <w:pPr>
        <w:ind w:left="7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C9B0038E">
      <w:start w:val="1"/>
      <w:numFmt w:val="lowerRoman"/>
      <w:lvlText w:val="%3"/>
      <w:lvlJc w:val="left"/>
      <w:pPr>
        <w:ind w:left="1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D3EC96E4">
      <w:start w:val="1"/>
      <w:numFmt w:val="decimal"/>
      <w:lvlText w:val="%4"/>
      <w:lvlJc w:val="left"/>
      <w:pPr>
        <w:ind w:left="2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1F0EDD8A">
      <w:start w:val="1"/>
      <w:numFmt w:val="lowerLetter"/>
      <w:lvlText w:val="%5"/>
      <w:lvlJc w:val="left"/>
      <w:pPr>
        <w:ind w:left="2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B9186314">
      <w:start w:val="1"/>
      <w:numFmt w:val="lowerRoman"/>
      <w:lvlText w:val="%6"/>
      <w:lvlJc w:val="left"/>
      <w:pPr>
        <w:ind w:left="3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9232F8A8">
      <w:start w:val="1"/>
      <w:numFmt w:val="decimal"/>
      <w:lvlText w:val="%7"/>
      <w:lvlJc w:val="left"/>
      <w:pPr>
        <w:ind w:left="42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055283EC">
      <w:start w:val="1"/>
      <w:numFmt w:val="lowerLetter"/>
      <w:lvlText w:val="%8"/>
      <w:lvlJc w:val="left"/>
      <w:pPr>
        <w:ind w:left="49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728A8B7C">
      <w:start w:val="1"/>
      <w:numFmt w:val="lowerRoman"/>
      <w:lvlText w:val="%9"/>
      <w:lvlJc w:val="left"/>
      <w:pPr>
        <w:ind w:left="56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0273E94"/>
    <w:multiLevelType w:val="hybridMultilevel"/>
    <w:tmpl w:val="DC624C8E"/>
    <w:lvl w:ilvl="0" w:tplc="38BE54D4">
      <w:start w:val="1"/>
      <w:numFmt w:val="decimal"/>
      <w:lvlText w:val="%1."/>
      <w:lvlJc w:val="left"/>
      <w:pPr>
        <w:ind w:left="7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A80A0FA8">
      <w:start w:val="1"/>
      <w:numFmt w:val="lowerLetter"/>
      <w:lvlText w:val="%2"/>
      <w:lvlJc w:val="left"/>
      <w:pPr>
        <w:ind w:left="1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E9CE1A7A">
      <w:start w:val="1"/>
      <w:numFmt w:val="lowerRoman"/>
      <w:lvlText w:val="%3"/>
      <w:lvlJc w:val="left"/>
      <w:pPr>
        <w:ind w:left="2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0DF4A242">
      <w:start w:val="1"/>
      <w:numFmt w:val="decimal"/>
      <w:lvlText w:val="%4"/>
      <w:lvlJc w:val="left"/>
      <w:pPr>
        <w:ind w:left="2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467A0DF0">
      <w:start w:val="1"/>
      <w:numFmt w:val="lowerLetter"/>
      <w:lvlText w:val="%5"/>
      <w:lvlJc w:val="left"/>
      <w:pPr>
        <w:ind w:left="3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35C8CA40">
      <w:start w:val="1"/>
      <w:numFmt w:val="lowerRoman"/>
      <w:lvlText w:val="%6"/>
      <w:lvlJc w:val="left"/>
      <w:pPr>
        <w:ind w:left="42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A828A1A0">
      <w:start w:val="1"/>
      <w:numFmt w:val="decimal"/>
      <w:lvlText w:val="%7"/>
      <w:lvlJc w:val="left"/>
      <w:pPr>
        <w:ind w:left="49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FBE2A528">
      <w:start w:val="1"/>
      <w:numFmt w:val="lowerLetter"/>
      <w:lvlText w:val="%8"/>
      <w:lvlJc w:val="left"/>
      <w:pPr>
        <w:ind w:left="56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9F7CFEC2">
      <w:start w:val="1"/>
      <w:numFmt w:val="lowerRoman"/>
      <w:lvlText w:val="%9"/>
      <w:lvlJc w:val="left"/>
      <w:pPr>
        <w:ind w:left="63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19A472F"/>
    <w:multiLevelType w:val="hybridMultilevel"/>
    <w:tmpl w:val="1586F3D8"/>
    <w:lvl w:ilvl="0" w:tplc="56403B5E">
      <w:start w:val="1"/>
      <w:numFmt w:val="decimal"/>
      <w:lvlText w:val="%1."/>
      <w:lvlJc w:val="left"/>
      <w:pPr>
        <w:ind w:left="7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FCBEBB6A">
      <w:start w:val="1"/>
      <w:numFmt w:val="lowerLetter"/>
      <w:lvlText w:val="%2"/>
      <w:lvlJc w:val="left"/>
      <w:pPr>
        <w:ind w:left="1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47865778">
      <w:start w:val="1"/>
      <w:numFmt w:val="lowerRoman"/>
      <w:lvlText w:val="%3"/>
      <w:lvlJc w:val="left"/>
      <w:pPr>
        <w:ind w:left="2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F4621D7C">
      <w:start w:val="1"/>
      <w:numFmt w:val="decimal"/>
      <w:lvlText w:val="%4"/>
      <w:lvlJc w:val="left"/>
      <w:pPr>
        <w:ind w:left="2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8C5085E2">
      <w:start w:val="1"/>
      <w:numFmt w:val="lowerLetter"/>
      <w:lvlText w:val="%5"/>
      <w:lvlJc w:val="left"/>
      <w:pPr>
        <w:ind w:left="3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9FA60EF8">
      <w:start w:val="1"/>
      <w:numFmt w:val="lowerRoman"/>
      <w:lvlText w:val="%6"/>
      <w:lvlJc w:val="left"/>
      <w:pPr>
        <w:ind w:left="42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C1E8596A">
      <w:start w:val="1"/>
      <w:numFmt w:val="decimal"/>
      <w:lvlText w:val="%7"/>
      <w:lvlJc w:val="left"/>
      <w:pPr>
        <w:ind w:left="49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BAD86AB0">
      <w:start w:val="1"/>
      <w:numFmt w:val="lowerLetter"/>
      <w:lvlText w:val="%8"/>
      <w:lvlJc w:val="left"/>
      <w:pPr>
        <w:ind w:left="56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6F8EFC1A">
      <w:start w:val="1"/>
      <w:numFmt w:val="lowerRoman"/>
      <w:lvlText w:val="%9"/>
      <w:lvlJc w:val="left"/>
      <w:pPr>
        <w:ind w:left="63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8F629D3"/>
    <w:multiLevelType w:val="hybridMultilevel"/>
    <w:tmpl w:val="8C505130"/>
    <w:lvl w:ilvl="0" w:tplc="F70C2CB4">
      <w:start w:val="1"/>
      <w:numFmt w:val="bullet"/>
      <w:lvlText w:val="•"/>
      <w:lvlJc w:val="left"/>
      <w:pPr>
        <w:ind w:left="7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79484EB2">
      <w:start w:val="1"/>
      <w:numFmt w:val="bullet"/>
      <w:lvlText w:val="o"/>
      <w:lvlJc w:val="left"/>
      <w:pPr>
        <w:ind w:left="1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8E561854">
      <w:start w:val="1"/>
      <w:numFmt w:val="bullet"/>
      <w:lvlText w:val="▪"/>
      <w:lvlJc w:val="left"/>
      <w:pPr>
        <w:ind w:left="2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A52C3854">
      <w:start w:val="1"/>
      <w:numFmt w:val="bullet"/>
      <w:lvlText w:val="•"/>
      <w:lvlJc w:val="left"/>
      <w:pPr>
        <w:ind w:left="2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444C7832">
      <w:start w:val="1"/>
      <w:numFmt w:val="bullet"/>
      <w:lvlText w:val="o"/>
      <w:lvlJc w:val="left"/>
      <w:pPr>
        <w:ind w:left="3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ABDA7CF6">
      <w:start w:val="1"/>
      <w:numFmt w:val="bullet"/>
      <w:lvlText w:val="▪"/>
      <w:lvlJc w:val="left"/>
      <w:pPr>
        <w:ind w:left="42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46441A72">
      <w:start w:val="1"/>
      <w:numFmt w:val="bullet"/>
      <w:lvlText w:val="•"/>
      <w:lvlJc w:val="left"/>
      <w:pPr>
        <w:ind w:left="49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F7505ABE">
      <w:start w:val="1"/>
      <w:numFmt w:val="bullet"/>
      <w:lvlText w:val="o"/>
      <w:lvlJc w:val="left"/>
      <w:pPr>
        <w:ind w:left="56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AE5EEB22">
      <w:start w:val="1"/>
      <w:numFmt w:val="bullet"/>
      <w:lvlText w:val="▪"/>
      <w:lvlJc w:val="left"/>
      <w:pPr>
        <w:ind w:left="63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BA1604B"/>
    <w:multiLevelType w:val="hybridMultilevel"/>
    <w:tmpl w:val="E0ACC58A"/>
    <w:lvl w:ilvl="0" w:tplc="F1BC826E">
      <w:start w:val="1"/>
      <w:numFmt w:val="decimal"/>
      <w:lvlText w:val="%1."/>
      <w:lvlJc w:val="left"/>
      <w:pPr>
        <w:ind w:left="7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2CCE3B24">
      <w:start w:val="1"/>
      <w:numFmt w:val="lowerLetter"/>
      <w:lvlText w:val="%2"/>
      <w:lvlJc w:val="left"/>
      <w:pPr>
        <w:ind w:left="1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4AA4CF0C">
      <w:start w:val="1"/>
      <w:numFmt w:val="lowerRoman"/>
      <w:lvlText w:val="%3"/>
      <w:lvlJc w:val="left"/>
      <w:pPr>
        <w:ind w:left="2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78F4C946">
      <w:start w:val="1"/>
      <w:numFmt w:val="decimal"/>
      <w:lvlText w:val="%4"/>
      <w:lvlJc w:val="left"/>
      <w:pPr>
        <w:ind w:left="2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1F8C8702">
      <w:start w:val="1"/>
      <w:numFmt w:val="lowerLetter"/>
      <w:lvlText w:val="%5"/>
      <w:lvlJc w:val="left"/>
      <w:pPr>
        <w:ind w:left="3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D77A0154">
      <w:start w:val="1"/>
      <w:numFmt w:val="lowerRoman"/>
      <w:lvlText w:val="%6"/>
      <w:lvlJc w:val="left"/>
      <w:pPr>
        <w:ind w:left="42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68560E98">
      <w:start w:val="1"/>
      <w:numFmt w:val="decimal"/>
      <w:lvlText w:val="%7"/>
      <w:lvlJc w:val="left"/>
      <w:pPr>
        <w:ind w:left="49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2AAEC818">
      <w:start w:val="1"/>
      <w:numFmt w:val="lowerLetter"/>
      <w:lvlText w:val="%8"/>
      <w:lvlJc w:val="left"/>
      <w:pPr>
        <w:ind w:left="56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F02E9D68">
      <w:start w:val="1"/>
      <w:numFmt w:val="lowerRoman"/>
      <w:lvlText w:val="%9"/>
      <w:lvlJc w:val="left"/>
      <w:pPr>
        <w:ind w:left="63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num w:numId="1" w16cid:durableId="1448230563">
    <w:abstractNumId w:val="7"/>
  </w:num>
  <w:num w:numId="2" w16cid:durableId="638261998">
    <w:abstractNumId w:val="5"/>
  </w:num>
  <w:num w:numId="3" w16cid:durableId="571702084">
    <w:abstractNumId w:val="6"/>
  </w:num>
  <w:num w:numId="4" w16cid:durableId="1241872023">
    <w:abstractNumId w:val="3"/>
  </w:num>
  <w:num w:numId="5" w16cid:durableId="1250845944">
    <w:abstractNumId w:val="0"/>
  </w:num>
  <w:num w:numId="6" w16cid:durableId="886650310">
    <w:abstractNumId w:val="4"/>
  </w:num>
  <w:num w:numId="7" w16cid:durableId="1667325170">
    <w:abstractNumId w:val="2"/>
  </w:num>
  <w:num w:numId="8" w16cid:durableId="16167904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79EE"/>
    <w:rsid w:val="00275633"/>
    <w:rsid w:val="004F74A4"/>
    <w:rsid w:val="00C879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FEF58"/>
  <w15:docId w15:val="{30B85B1B-B88B-4984-A30C-181AE364D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170" w:line="248" w:lineRule="auto"/>
      <w:ind w:left="10" w:hanging="10"/>
    </w:pPr>
    <w:rPr>
      <w:rFonts w:ascii="Cambria" w:eastAsia="Cambria" w:hAnsi="Cambria" w:cs="Cambria"/>
      <w:color w:val="000000"/>
    </w:rPr>
  </w:style>
  <w:style w:type="paragraph" w:styleId="berschrift1">
    <w:name w:val="heading 1"/>
    <w:next w:val="Standard"/>
    <w:link w:val="berschrift1Zchn"/>
    <w:uiPriority w:val="9"/>
    <w:qFormat/>
    <w:pPr>
      <w:keepNext/>
      <w:keepLines/>
      <w:numPr>
        <w:numId w:val="8"/>
      </w:numPr>
      <w:spacing w:after="112" w:line="259" w:lineRule="auto"/>
      <w:ind w:left="10" w:hanging="10"/>
      <w:outlineLvl w:val="0"/>
    </w:pPr>
    <w:rPr>
      <w:rFonts w:ascii="Calibri" w:eastAsia="Calibri" w:hAnsi="Calibri" w:cs="Calibri"/>
      <w:b/>
      <w:color w:val="4F81BD"/>
      <w:sz w:val="28"/>
    </w:rPr>
  </w:style>
  <w:style w:type="paragraph" w:styleId="berschrift2">
    <w:name w:val="heading 2"/>
    <w:next w:val="Standard"/>
    <w:link w:val="berschrift2Zchn"/>
    <w:uiPriority w:val="9"/>
    <w:unhideWhenUsed/>
    <w:qFormat/>
    <w:pPr>
      <w:keepNext/>
      <w:keepLines/>
      <w:numPr>
        <w:ilvl w:val="1"/>
        <w:numId w:val="8"/>
      </w:numPr>
      <w:spacing w:after="158" w:line="259" w:lineRule="auto"/>
      <w:ind w:left="10" w:hanging="10"/>
      <w:outlineLvl w:val="1"/>
    </w:pPr>
    <w:rPr>
      <w:rFonts w:ascii="Calibri" w:eastAsia="Calibri" w:hAnsi="Calibri" w:cs="Calibri"/>
      <w:b/>
      <w:color w:val="4F81BD"/>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link w:val="berschrift2"/>
    <w:rPr>
      <w:rFonts w:ascii="Calibri" w:eastAsia="Calibri" w:hAnsi="Calibri" w:cs="Calibri"/>
      <w:b/>
      <w:color w:val="4F81BD"/>
      <w:sz w:val="24"/>
    </w:rPr>
  </w:style>
  <w:style w:type="character" w:customStyle="1" w:styleId="berschrift1Zchn">
    <w:name w:val="Überschrift 1 Zchn"/>
    <w:link w:val="berschrift1"/>
    <w:rPr>
      <w:rFonts w:ascii="Calibri" w:eastAsia="Calibri" w:hAnsi="Calibri" w:cs="Calibri"/>
      <w:b/>
      <w:color w:val="4F81BD"/>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quantumzeitgeist.com/what-are-the-worlds-most-powerful-quantum-computers-in-2025/" TargetMode="External"/><Relationship Id="rId21" Type="http://schemas.openxmlformats.org/officeDocument/2006/relationships/hyperlink" Target="https://doi.org/10.1038/s41586-021-04349-7" TargetMode="External"/><Relationship Id="rId42" Type="http://schemas.openxmlformats.org/officeDocument/2006/relationships/hyperlink" Target="https://doi.org/10.22331/q-2018-08-06-79" TargetMode="External"/><Relationship Id="rId63" Type="http://schemas.openxmlformats.org/officeDocument/2006/relationships/hyperlink" Target="https://doi.org/10.12942/lrr-2014-4" TargetMode="External"/><Relationship Id="rId84" Type="http://schemas.openxmlformats.org/officeDocument/2006/relationships/hyperlink" Target="https://www.hpcwire.com/2025/10/21/ionq-achieves-worlds-highest-two-qubit-gate-fidelity/" TargetMode="External"/><Relationship Id="rId138" Type="http://schemas.openxmlformats.org/officeDocument/2006/relationships/hyperlink" Target="https://www.hpcwire.com/2022/02/17/rigetti-achieves-99-5-two-qubit-gate-fidelity-on-next-generation-architecture/" TargetMode="External"/><Relationship Id="rId107" Type="http://schemas.openxmlformats.org/officeDocument/2006/relationships/hyperlink" Target="https://quantumzeitgeist.com/what-are-the-worlds-most-powerful-quantum-computers-in-2025/" TargetMode="External"/><Relationship Id="rId11" Type="http://schemas.openxmlformats.org/officeDocument/2006/relationships/image" Target="media/image7.jpg"/><Relationship Id="rId32" Type="http://schemas.openxmlformats.org/officeDocument/2006/relationships/hyperlink" Target="https://doi.org/10.1103/PhysRevA.86.032324" TargetMode="External"/><Relationship Id="rId53" Type="http://schemas.openxmlformats.org/officeDocument/2006/relationships/hyperlink" Target="https://doi.org/10.1103/PhysRevA.52.R2493" TargetMode="External"/><Relationship Id="rId74" Type="http://schemas.openxmlformats.org/officeDocument/2006/relationships/hyperlink" Target="https://github.com/error-wtf/ssz-metric-pure" TargetMode="External"/><Relationship Id="rId128" Type="http://schemas.openxmlformats.org/officeDocument/2006/relationships/hyperlink" Target="https://www.hpcwire.com/2022/02/17/rigetti-achieves-99-5-two-qubit-gate-fidelity-on-next-generation-architecture/" TargetMode="External"/><Relationship Id="rId149" Type="http://schemas.openxmlformats.org/officeDocument/2006/relationships/hyperlink" Target="https://doi.org/10.22331/q-2023-03-13-946" TargetMode="External"/><Relationship Id="rId5" Type="http://schemas.openxmlformats.org/officeDocument/2006/relationships/image" Target="media/image1.jpg"/><Relationship Id="rId95" Type="http://schemas.openxmlformats.org/officeDocument/2006/relationships/hyperlink" Target="https://www.hpcwire.com/2025/10/21/ionq-achieves-worlds-highest-two-qubit-gate-fidelity/" TargetMode="External"/><Relationship Id="rId22" Type="http://schemas.openxmlformats.org/officeDocument/2006/relationships/hyperlink" Target="https://doi.org/10.1038/s41586-021-04349-7" TargetMode="External"/><Relationship Id="rId27" Type="http://schemas.openxmlformats.org/officeDocument/2006/relationships/hyperlink" Target="https://doi.org/10.1038/s41586-021-04349-7" TargetMode="External"/><Relationship Id="rId43" Type="http://schemas.openxmlformats.org/officeDocument/2006/relationships/hyperlink" Target="https://doi.org/10.22331/q-2018-08-06-79" TargetMode="External"/><Relationship Id="rId48" Type="http://schemas.openxmlformats.org/officeDocument/2006/relationships/hyperlink" Target="https://qiskit.org/" TargetMode="External"/><Relationship Id="rId64" Type="http://schemas.openxmlformats.org/officeDocument/2006/relationships/hyperlink" Target="https://doi.org/10.12942/lrr-2014-4" TargetMode="External"/><Relationship Id="rId69" Type="http://schemas.openxmlformats.org/officeDocument/2006/relationships/hyperlink" Target="https://github.com/error-wtf/ssz-metric-pure" TargetMode="External"/><Relationship Id="rId113" Type="http://schemas.openxmlformats.org/officeDocument/2006/relationships/hyperlink" Target="https://quantumzeitgeist.com/what-are-the-worlds-most-powerful-quantum-computers-in-2025/" TargetMode="External"/><Relationship Id="rId118" Type="http://schemas.openxmlformats.org/officeDocument/2006/relationships/hyperlink" Target="https://www.hpcwire.com/2022/02/17/rigetti-achieves-99-5-two-qubit-gate-fidelity-on-next-generation-architecture/" TargetMode="External"/><Relationship Id="rId134" Type="http://schemas.openxmlformats.org/officeDocument/2006/relationships/hyperlink" Target="https://www.hpcwire.com/2022/02/17/rigetti-achieves-99-5-two-qubit-gate-fidelity-on-next-generation-architecture/" TargetMode="External"/><Relationship Id="rId139" Type="http://schemas.openxmlformats.org/officeDocument/2006/relationships/hyperlink" Target="https://www.hpcwire.com/2022/02/17/rigetti-achieves-99-5-two-qubit-gate-fidelity-on-next-generation-architecture/" TargetMode="External"/><Relationship Id="rId80" Type="http://schemas.openxmlformats.org/officeDocument/2006/relationships/hyperlink" Target="https://github.com/error-wtf/ssz-qubits" TargetMode="External"/><Relationship Id="rId85" Type="http://schemas.openxmlformats.org/officeDocument/2006/relationships/hyperlink" Target="https://www.hpcwire.com/2025/10/21/ionq-achieves-worlds-highest-two-qubit-gate-fidelity/" TargetMode="External"/><Relationship Id="rId150" Type="http://schemas.openxmlformats.org/officeDocument/2006/relationships/hyperlink" Target="https://doi.org/10.22331/q-2023-03-13-946" TargetMode="External"/><Relationship Id="rId12" Type="http://schemas.openxmlformats.org/officeDocument/2006/relationships/image" Target="media/image8.jpg"/><Relationship Id="rId17" Type="http://schemas.openxmlformats.org/officeDocument/2006/relationships/hyperlink" Target="https://doi.org/10.1038/s41586-019-1666-5" TargetMode="External"/><Relationship Id="rId33" Type="http://schemas.openxmlformats.org/officeDocument/2006/relationships/hyperlink" Target="https://doi.org/10.1038/nature03350" TargetMode="External"/><Relationship Id="rId38" Type="http://schemas.openxmlformats.org/officeDocument/2006/relationships/hyperlink" Target="https://doi.org/10.22331/q-2018-08-06-79" TargetMode="External"/><Relationship Id="rId59" Type="http://schemas.openxmlformats.org/officeDocument/2006/relationships/hyperlink" Target="https://doi.org/10.1038/s41566-020-0619-8" TargetMode="External"/><Relationship Id="rId103" Type="http://schemas.openxmlformats.org/officeDocument/2006/relationships/hyperlink" Target="https://quantumzeitgeist.com/what-are-the-worlds-most-powerful-quantum-computers-in-2025/" TargetMode="External"/><Relationship Id="rId108" Type="http://schemas.openxmlformats.org/officeDocument/2006/relationships/hyperlink" Target="https://quantumzeitgeist.com/what-are-the-worlds-most-powerful-quantum-computers-in-2025/" TargetMode="External"/><Relationship Id="rId124" Type="http://schemas.openxmlformats.org/officeDocument/2006/relationships/hyperlink" Target="https://www.hpcwire.com/2022/02/17/rigetti-achieves-99-5-two-qubit-gate-fidelity-on-next-generation-architecture/" TargetMode="External"/><Relationship Id="rId129" Type="http://schemas.openxmlformats.org/officeDocument/2006/relationships/hyperlink" Target="https://www.hpcwire.com/2022/02/17/rigetti-achieves-99-5-two-qubit-gate-fidelity-on-next-generation-architecture/" TargetMode="External"/><Relationship Id="rId54" Type="http://schemas.openxmlformats.org/officeDocument/2006/relationships/hyperlink" Target="https://doi.org/10.1038/s41566-020-0619-8" TargetMode="External"/><Relationship Id="rId70" Type="http://schemas.openxmlformats.org/officeDocument/2006/relationships/hyperlink" Target="https://github.com/error-wtf/ssz-metric-pure" TargetMode="External"/><Relationship Id="rId75" Type="http://schemas.openxmlformats.org/officeDocument/2006/relationships/hyperlink" Target="https://github.com/error-wtf/ssz-metric-pure" TargetMode="External"/><Relationship Id="rId91" Type="http://schemas.openxmlformats.org/officeDocument/2006/relationships/hyperlink" Target="https://www.hpcwire.com/2025/10/21/ionq-achieves-worlds-highest-two-qubit-gate-fidelity/" TargetMode="External"/><Relationship Id="rId96" Type="http://schemas.openxmlformats.org/officeDocument/2006/relationships/hyperlink" Target="https://www.hpcwire.com/2025/10/21/ionq-achieves-worlds-highest-two-qubit-gate-fidelity/" TargetMode="External"/><Relationship Id="rId140" Type="http://schemas.openxmlformats.org/officeDocument/2006/relationships/hyperlink" Target="https://www.hpcwire.com/2022/02/17/rigetti-achieves-99-5-two-qubit-gate-fidelity-on-next-generation-architecture/" TargetMode="External"/><Relationship Id="rId145" Type="http://schemas.openxmlformats.org/officeDocument/2006/relationships/hyperlink" Target="https://doi.org/10.22331/q-2023-03-13-946" TargetMode="External"/><Relationship Id="rId1" Type="http://schemas.openxmlformats.org/officeDocument/2006/relationships/numbering" Target="numbering.xml"/><Relationship Id="rId6" Type="http://schemas.openxmlformats.org/officeDocument/2006/relationships/image" Target="media/image2.jpg"/><Relationship Id="rId23" Type="http://schemas.openxmlformats.org/officeDocument/2006/relationships/hyperlink" Target="https://doi.org/10.1038/s41586-021-04349-7" TargetMode="External"/><Relationship Id="rId28" Type="http://schemas.openxmlformats.org/officeDocument/2006/relationships/hyperlink" Target="https://doi.org/10.1038/s41586-021-04349-7" TargetMode="External"/><Relationship Id="rId49" Type="http://schemas.openxmlformats.org/officeDocument/2006/relationships/hyperlink" Target="https://doi.org/10.5281/zenodo.2573505" TargetMode="External"/><Relationship Id="rId114" Type="http://schemas.openxmlformats.org/officeDocument/2006/relationships/hyperlink" Target="https://quantumzeitgeist.com/what-are-the-worlds-most-powerful-quantum-computers-in-2025/" TargetMode="External"/><Relationship Id="rId119" Type="http://schemas.openxmlformats.org/officeDocument/2006/relationships/hyperlink" Target="https://www.hpcwire.com/2022/02/17/rigetti-achieves-99-5-two-qubit-gate-fidelity-on-next-generation-architecture/" TargetMode="External"/><Relationship Id="rId44" Type="http://schemas.openxmlformats.org/officeDocument/2006/relationships/hyperlink" Target="https://doi.org/10.22331/q-2018-08-06-79" TargetMode="External"/><Relationship Id="rId60" Type="http://schemas.openxmlformats.org/officeDocument/2006/relationships/hyperlink" Target="https://doi.org/10.1038/s41566-020-0619-8" TargetMode="External"/><Relationship Id="rId65" Type="http://schemas.openxmlformats.org/officeDocument/2006/relationships/hyperlink" Target="https://doi.org/10.12942/lrr-2014-4" TargetMode="External"/><Relationship Id="rId81" Type="http://schemas.openxmlformats.org/officeDocument/2006/relationships/hyperlink" Target="https://github.com/error-wtf/ssz-qubits" TargetMode="External"/><Relationship Id="rId86" Type="http://schemas.openxmlformats.org/officeDocument/2006/relationships/hyperlink" Target="https://www.hpcwire.com/2025/10/21/ionq-achieves-worlds-highest-two-qubit-gate-fidelity/" TargetMode="External"/><Relationship Id="rId130" Type="http://schemas.openxmlformats.org/officeDocument/2006/relationships/hyperlink" Target="https://www.hpcwire.com/2022/02/17/rigetti-achieves-99-5-two-qubit-gate-fidelity-on-next-generation-architecture/" TargetMode="External"/><Relationship Id="rId135" Type="http://schemas.openxmlformats.org/officeDocument/2006/relationships/hyperlink" Target="https://www.hpcwire.com/2022/02/17/rigetti-achieves-99-5-two-qubit-gate-fidelity-on-next-generation-architecture/" TargetMode="External"/><Relationship Id="rId151" Type="http://schemas.openxmlformats.org/officeDocument/2006/relationships/hyperlink" Target="https://doi.org/10.22331/q-2023-03-13-946" TargetMode="External"/><Relationship Id="rId13" Type="http://schemas.openxmlformats.org/officeDocument/2006/relationships/hyperlink" Target="https://doi.org/10.1038/s41586-019-1666-5" TargetMode="External"/><Relationship Id="rId18" Type="http://schemas.openxmlformats.org/officeDocument/2006/relationships/hyperlink" Target="https://doi.org/10.1038/s41586-019-1666-5" TargetMode="External"/><Relationship Id="rId39" Type="http://schemas.openxmlformats.org/officeDocument/2006/relationships/hyperlink" Target="https://doi.org/10.22331/q-2018-08-06-79" TargetMode="External"/><Relationship Id="rId109" Type="http://schemas.openxmlformats.org/officeDocument/2006/relationships/hyperlink" Target="https://quantumzeitgeist.com/what-are-the-worlds-most-powerful-quantum-computers-in-2025/" TargetMode="External"/><Relationship Id="rId34" Type="http://schemas.openxmlformats.org/officeDocument/2006/relationships/hyperlink" Target="https://doi.org/10.1038/nature03350" TargetMode="External"/><Relationship Id="rId50" Type="http://schemas.openxmlformats.org/officeDocument/2006/relationships/hyperlink" Target="https://doi.org/10.5281/zenodo.2573505" TargetMode="External"/><Relationship Id="rId55" Type="http://schemas.openxmlformats.org/officeDocument/2006/relationships/hyperlink" Target="https://doi.org/10.1038/s41566-020-0619-8" TargetMode="External"/><Relationship Id="rId76" Type="http://schemas.openxmlformats.org/officeDocument/2006/relationships/hyperlink" Target="https://github.com/error-wtf/ssz-qubits" TargetMode="External"/><Relationship Id="rId97" Type="http://schemas.openxmlformats.org/officeDocument/2006/relationships/hyperlink" Target="https://www.hpcwire.com/2025/10/21/ionq-achieves-worlds-highest-two-qubit-gate-fidelity/" TargetMode="External"/><Relationship Id="rId104" Type="http://schemas.openxmlformats.org/officeDocument/2006/relationships/hyperlink" Target="https://quantumzeitgeist.com/what-are-the-worlds-most-powerful-quantum-computers-in-2025/" TargetMode="External"/><Relationship Id="rId120" Type="http://schemas.openxmlformats.org/officeDocument/2006/relationships/hyperlink" Target="https://www.hpcwire.com/2022/02/17/rigetti-achieves-99-5-two-qubit-gate-fidelity-on-next-generation-architecture/" TargetMode="External"/><Relationship Id="rId125" Type="http://schemas.openxmlformats.org/officeDocument/2006/relationships/hyperlink" Target="https://www.hpcwire.com/2022/02/17/rigetti-achieves-99-5-two-qubit-gate-fidelity-on-next-generation-architecture/" TargetMode="External"/><Relationship Id="rId141" Type="http://schemas.openxmlformats.org/officeDocument/2006/relationships/hyperlink" Target="https://www.hpcwire.com/2022/02/17/rigetti-achieves-99-5-two-qubit-gate-fidelity-on-next-generation-architecture/" TargetMode="External"/><Relationship Id="rId146" Type="http://schemas.openxmlformats.org/officeDocument/2006/relationships/hyperlink" Target="https://doi.org/10.22331/q-2023-03-13-946" TargetMode="External"/><Relationship Id="rId7" Type="http://schemas.openxmlformats.org/officeDocument/2006/relationships/image" Target="media/image3.jpg"/><Relationship Id="rId71" Type="http://schemas.openxmlformats.org/officeDocument/2006/relationships/hyperlink" Target="https://github.com/error-wtf/ssz-metric-pure" TargetMode="External"/><Relationship Id="rId92" Type="http://schemas.openxmlformats.org/officeDocument/2006/relationships/hyperlink" Target="https://www.hpcwire.com/2025/10/21/ionq-achieves-worlds-highest-two-qubit-gate-fidelity/" TargetMode="External"/><Relationship Id="rId2" Type="http://schemas.openxmlformats.org/officeDocument/2006/relationships/styles" Target="styles.xml"/><Relationship Id="rId29" Type="http://schemas.openxmlformats.org/officeDocument/2006/relationships/hyperlink" Target="https://doi.org/10.1126/science.1192720" TargetMode="External"/><Relationship Id="rId24" Type="http://schemas.openxmlformats.org/officeDocument/2006/relationships/hyperlink" Target="https://doi.org/10.1038/s41586-021-04349-7" TargetMode="External"/><Relationship Id="rId40" Type="http://schemas.openxmlformats.org/officeDocument/2006/relationships/hyperlink" Target="https://doi.org/10.22331/q-2018-08-06-79" TargetMode="External"/><Relationship Id="rId45" Type="http://schemas.openxmlformats.org/officeDocument/2006/relationships/hyperlink" Target="https://doi.org/10.22331/q-2018-08-06-79" TargetMode="External"/><Relationship Id="rId66" Type="http://schemas.openxmlformats.org/officeDocument/2006/relationships/hyperlink" Target="https://doi.org/10.12942/lrr-2014-4" TargetMode="External"/><Relationship Id="rId87" Type="http://schemas.openxmlformats.org/officeDocument/2006/relationships/hyperlink" Target="https://www.hpcwire.com/2025/10/21/ionq-achieves-worlds-highest-two-qubit-gate-fidelity/" TargetMode="External"/><Relationship Id="rId110" Type="http://schemas.openxmlformats.org/officeDocument/2006/relationships/hyperlink" Target="https://quantumzeitgeist.com/what-are-the-worlds-most-powerful-quantum-computers-in-2025/" TargetMode="External"/><Relationship Id="rId115" Type="http://schemas.openxmlformats.org/officeDocument/2006/relationships/hyperlink" Target="https://quantumzeitgeist.com/what-are-the-worlds-most-powerful-quantum-computers-in-2025/" TargetMode="External"/><Relationship Id="rId131" Type="http://schemas.openxmlformats.org/officeDocument/2006/relationships/hyperlink" Target="https://www.hpcwire.com/2022/02/17/rigetti-achieves-99-5-two-qubit-gate-fidelity-on-next-generation-architecture/" TargetMode="External"/><Relationship Id="rId136" Type="http://schemas.openxmlformats.org/officeDocument/2006/relationships/hyperlink" Target="https://www.hpcwire.com/2022/02/17/rigetti-achieves-99-5-two-qubit-gate-fidelity-on-next-generation-architecture/" TargetMode="External"/><Relationship Id="rId61" Type="http://schemas.openxmlformats.org/officeDocument/2006/relationships/hyperlink" Target="https://doi.org/10.1038/s41566-020-0619-8" TargetMode="External"/><Relationship Id="rId82" Type="http://schemas.openxmlformats.org/officeDocument/2006/relationships/hyperlink" Target="https://www.hpcwire.com/2025/10/21/ionq-achieves-worlds-highest-two-qubit-gate-fidelity/" TargetMode="External"/><Relationship Id="rId152" Type="http://schemas.openxmlformats.org/officeDocument/2006/relationships/fontTable" Target="fontTable.xml"/><Relationship Id="rId19" Type="http://schemas.openxmlformats.org/officeDocument/2006/relationships/hyperlink" Target="https://doi.org/10.1038/s41586-019-1666-5" TargetMode="External"/><Relationship Id="rId14" Type="http://schemas.openxmlformats.org/officeDocument/2006/relationships/hyperlink" Target="https://doi.org/10.1038/s41586-019-1666-5" TargetMode="External"/><Relationship Id="rId30" Type="http://schemas.openxmlformats.org/officeDocument/2006/relationships/hyperlink" Target="https://doi.org/10.1126/science.1192720" TargetMode="External"/><Relationship Id="rId35" Type="http://schemas.openxmlformats.org/officeDocument/2006/relationships/hyperlink" Target="https://doi.org/10.1103/PhysRevLett.4.337" TargetMode="External"/><Relationship Id="rId56" Type="http://schemas.openxmlformats.org/officeDocument/2006/relationships/hyperlink" Target="https://doi.org/10.1038/s41566-020-0619-8" TargetMode="External"/><Relationship Id="rId77" Type="http://schemas.openxmlformats.org/officeDocument/2006/relationships/hyperlink" Target="https://github.com/error-wtf/ssz-qubits" TargetMode="External"/><Relationship Id="rId100" Type="http://schemas.openxmlformats.org/officeDocument/2006/relationships/hyperlink" Target="https://quantumzeitgeist.com/what-are-the-worlds-most-powerful-quantum-computers-in-2025/" TargetMode="External"/><Relationship Id="rId105" Type="http://schemas.openxmlformats.org/officeDocument/2006/relationships/hyperlink" Target="https://quantumzeitgeist.com/what-are-the-worlds-most-powerful-quantum-computers-in-2025/" TargetMode="External"/><Relationship Id="rId126" Type="http://schemas.openxmlformats.org/officeDocument/2006/relationships/hyperlink" Target="https://www.hpcwire.com/2022/02/17/rigetti-achieves-99-5-two-qubit-gate-fidelity-on-next-generation-architecture/" TargetMode="External"/><Relationship Id="rId147" Type="http://schemas.openxmlformats.org/officeDocument/2006/relationships/hyperlink" Target="https://doi.org/10.22331/q-2023-03-13-946" TargetMode="External"/><Relationship Id="rId8" Type="http://schemas.openxmlformats.org/officeDocument/2006/relationships/image" Target="media/image4.jpg"/><Relationship Id="rId51" Type="http://schemas.openxmlformats.org/officeDocument/2006/relationships/hyperlink" Target="https://doi.org/10.5281/zenodo.2573505" TargetMode="External"/><Relationship Id="rId72" Type="http://schemas.openxmlformats.org/officeDocument/2006/relationships/hyperlink" Target="https://github.com/error-wtf/ssz-metric-pure" TargetMode="External"/><Relationship Id="rId93" Type="http://schemas.openxmlformats.org/officeDocument/2006/relationships/hyperlink" Target="https://www.hpcwire.com/2025/10/21/ionq-achieves-worlds-highest-two-qubit-gate-fidelity/" TargetMode="External"/><Relationship Id="rId98" Type="http://schemas.openxmlformats.org/officeDocument/2006/relationships/hyperlink" Target="https://quantumzeitgeist.com/what-are-the-worlds-most-powerful-quantum-computers-in-2025/" TargetMode="External"/><Relationship Id="rId121" Type="http://schemas.openxmlformats.org/officeDocument/2006/relationships/hyperlink" Target="https://www.hpcwire.com/2022/02/17/rigetti-achieves-99-5-two-qubit-gate-fidelity-on-next-generation-architecture/" TargetMode="External"/><Relationship Id="rId142" Type="http://schemas.openxmlformats.org/officeDocument/2006/relationships/hyperlink" Target="https://doi.org/10.22331/q-2023-03-13-946" TargetMode="External"/><Relationship Id="rId3" Type="http://schemas.openxmlformats.org/officeDocument/2006/relationships/settings" Target="settings.xml"/><Relationship Id="rId25" Type="http://schemas.openxmlformats.org/officeDocument/2006/relationships/hyperlink" Target="https://doi.org/10.1038/s41586-021-04349-7" TargetMode="External"/><Relationship Id="rId46" Type="http://schemas.openxmlformats.org/officeDocument/2006/relationships/hyperlink" Target="https://doi.org/10.22331/q-2018-08-06-79" TargetMode="External"/><Relationship Id="rId67" Type="http://schemas.openxmlformats.org/officeDocument/2006/relationships/hyperlink" Target="https://doi.org/10.12942/lrr-2014-4" TargetMode="External"/><Relationship Id="rId116" Type="http://schemas.openxmlformats.org/officeDocument/2006/relationships/hyperlink" Target="https://quantumzeitgeist.com/what-are-the-worlds-most-powerful-quantum-computers-in-2025/" TargetMode="External"/><Relationship Id="rId137" Type="http://schemas.openxmlformats.org/officeDocument/2006/relationships/hyperlink" Target="https://www.hpcwire.com/2022/02/17/rigetti-achieves-99-5-two-qubit-gate-fidelity-on-next-generation-architecture/" TargetMode="External"/><Relationship Id="rId20" Type="http://schemas.openxmlformats.org/officeDocument/2006/relationships/hyperlink" Target="https://doi.org/10.1038/s41586-019-1666-5" TargetMode="External"/><Relationship Id="rId41" Type="http://schemas.openxmlformats.org/officeDocument/2006/relationships/hyperlink" Target="https://doi.org/10.22331/q-2018-08-06-79" TargetMode="External"/><Relationship Id="rId62" Type="http://schemas.openxmlformats.org/officeDocument/2006/relationships/hyperlink" Target="https://doi.org/10.12942/lrr-2014-4" TargetMode="External"/><Relationship Id="rId83" Type="http://schemas.openxmlformats.org/officeDocument/2006/relationships/hyperlink" Target="https://www.hpcwire.com/2025/10/21/ionq-achieves-worlds-highest-two-qubit-gate-fidelity/" TargetMode="External"/><Relationship Id="rId88" Type="http://schemas.openxmlformats.org/officeDocument/2006/relationships/hyperlink" Target="https://www.hpcwire.com/2025/10/21/ionq-achieves-worlds-highest-two-qubit-gate-fidelity/" TargetMode="External"/><Relationship Id="rId111" Type="http://schemas.openxmlformats.org/officeDocument/2006/relationships/hyperlink" Target="https://quantumzeitgeist.com/what-are-the-worlds-most-powerful-quantum-computers-in-2025/" TargetMode="External"/><Relationship Id="rId132" Type="http://schemas.openxmlformats.org/officeDocument/2006/relationships/hyperlink" Target="https://www.hpcwire.com/2022/02/17/rigetti-achieves-99-5-two-qubit-gate-fidelity-on-next-generation-architecture/" TargetMode="External"/><Relationship Id="rId153" Type="http://schemas.openxmlformats.org/officeDocument/2006/relationships/theme" Target="theme/theme1.xml"/><Relationship Id="rId15" Type="http://schemas.openxmlformats.org/officeDocument/2006/relationships/hyperlink" Target="https://doi.org/10.1038/s41586-019-1666-5" TargetMode="External"/><Relationship Id="rId36" Type="http://schemas.openxmlformats.org/officeDocument/2006/relationships/hyperlink" Target="https://doi.org/10.1103/PhysRevLett.4.337" TargetMode="External"/><Relationship Id="rId57" Type="http://schemas.openxmlformats.org/officeDocument/2006/relationships/hyperlink" Target="https://doi.org/10.1038/s41566-020-0619-8" TargetMode="External"/><Relationship Id="rId106" Type="http://schemas.openxmlformats.org/officeDocument/2006/relationships/hyperlink" Target="https://quantumzeitgeist.com/what-are-the-worlds-most-powerful-quantum-computers-in-2025/" TargetMode="External"/><Relationship Id="rId127" Type="http://schemas.openxmlformats.org/officeDocument/2006/relationships/hyperlink" Target="https://www.hpcwire.com/2022/02/17/rigetti-achieves-99-5-two-qubit-gate-fidelity-on-next-generation-architecture/" TargetMode="External"/><Relationship Id="rId10" Type="http://schemas.openxmlformats.org/officeDocument/2006/relationships/image" Target="media/image6.jpg"/><Relationship Id="rId31" Type="http://schemas.openxmlformats.org/officeDocument/2006/relationships/hyperlink" Target="https://doi.org/10.1103/PhysRevA.86.032324" TargetMode="External"/><Relationship Id="rId52" Type="http://schemas.openxmlformats.org/officeDocument/2006/relationships/hyperlink" Target="https://doi.org/10.1103/PhysRevA.52.R2493" TargetMode="External"/><Relationship Id="rId73" Type="http://schemas.openxmlformats.org/officeDocument/2006/relationships/hyperlink" Target="https://github.com/error-wtf/ssz-metric-pure" TargetMode="External"/><Relationship Id="rId78" Type="http://schemas.openxmlformats.org/officeDocument/2006/relationships/hyperlink" Target="https://github.com/error-wtf/ssz-qubits" TargetMode="External"/><Relationship Id="rId94" Type="http://schemas.openxmlformats.org/officeDocument/2006/relationships/hyperlink" Target="https://www.hpcwire.com/2025/10/21/ionq-achieves-worlds-highest-two-qubit-gate-fidelity/" TargetMode="External"/><Relationship Id="rId99" Type="http://schemas.openxmlformats.org/officeDocument/2006/relationships/hyperlink" Target="https://quantumzeitgeist.com/what-are-the-worlds-most-powerful-quantum-computers-in-2025/" TargetMode="External"/><Relationship Id="rId101" Type="http://schemas.openxmlformats.org/officeDocument/2006/relationships/hyperlink" Target="https://quantumzeitgeist.com/what-are-the-worlds-most-powerful-quantum-computers-in-2025/" TargetMode="External"/><Relationship Id="rId122" Type="http://schemas.openxmlformats.org/officeDocument/2006/relationships/hyperlink" Target="https://www.hpcwire.com/2022/02/17/rigetti-achieves-99-5-two-qubit-gate-fidelity-on-next-generation-architecture/" TargetMode="External"/><Relationship Id="rId143" Type="http://schemas.openxmlformats.org/officeDocument/2006/relationships/hyperlink" Target="https://doi.org/10.22331/q-2023-03-13-946" TargetMode="External"/><Relationship Id="rId148" Type="http://schemas.openxmlformats.org/officeDocument/2006/relationships/hyperlink" Target="https://doi.org/10.22331/q-2023-03-13-946" TargetMode="External"/><Relationship Id="rId4" Type="http://schemas.openxmlformats.org/officeDocument/2006/relationships/webSettings" Target="webSettings.xml"/><Relationship Id="rId9" Type="http://schemas.openxmlformats.org/officeDocument/2006/relationships/image" Target="media/image5.jpg"/><Relationship Id="rId26" Type="http://schemas.openxmlformats.org/officeDocument/2006/relationships/hyperlink" Target="https://doi.org/10.1038/s41586-021-04349-7" TargetMode="External"/><Relationship Id="rId47" Type="http://schemas.openxmlformats.org/officeDocument/2006/relationships/hyperlink" Target="https://qiskit.org/" TargetMode="External"/><Relationship Id="rId68" Type="http://schemas.openxmlformats.org/officeDocument/2006/relationships/hyperlink" Target="https://github.com/error-wtf/ssz-metric-pure" TargetMode="External"/><Relationship Id="rId89" Type="http://schemas.openxmlformats.org/officeDocument/2006/relationships/hyperlink" Target="https://www.hpcwire.com/2025/10/21/ionq-achieves-worlds-highest-two-qubit-gate-fidelity/" TargetMode="External"/><Relationship Id="rId112" Type="http://schemas.openxmlformats.org/officeDocument/2006/relationships/hyperlink" Target="https://quantumzeitgeist.com/what-are-the-worlds-most-powerful-quantum-computers-in-2025/" TargetMode="External"/><Relationship Id="rId133" Type="http://schemas.openxmlformats.org/officeDocument/2006/relationships/hyperlink" Target="https://www.hpcwire.com/2022/02/17/rigetti-achieves-99-5-two-qubit-gate-fidelity-on-next-generation-architecture/" TargetMode="External"/><Relationship Id="rId16" Type="http://schemas.openxmlformats.org/officeDocument/2006/relationships/hyperlink" Target="https://doi.org/10.1038/s41586-019-1666-5" TargetMode="External"/><Relationship Id="rId37" Type="http://schemas.openxmlformats.org/officeDocument/2006/relationships/hyperlink" Target="https://doi.org/10.22331/q-2018-08-06-79" TargetMode="External"/><Relationship Id="rId58" Type="http://schemas.openxmlformats.org/officeDocument/2006/relationships/hyperlink" Target="https://doi.org/10.1038/s41566-020-0619-8" TargetMode="External"/><Relationship Id="rId79" Type="http://schemas.openxmlformats.org/officeDocument/2006/relationships/hyperlink" Target="https://github.com/error-wtf/ssz-qubits" TargetMode="External"/><Relationship Id="rId102" Type="http://schemas.openxmlformats.org/officeDocument/2006/relationships/hyperlink" Target="https://quantumzeitgeist.com/what-are-the-worlds-most-powerful-quantum-computers-in-2025/" TargetMode="External"/><Relationship Id="rId123" Type="http://schemas.openxmlformats.org/officeDocument/2006/relationships/hyperlink" Target="https://www.hpcwire.com/2022/02/17/rigetti-achieves-99-5-two-qubit-gate-fidelity-on-next-generation-architecture/" TargetMode="External"/><Relationship Id="rId144" Type="http://schemas.openxmlformats.org/officeDocument/2006/relationships/hyperlink" Target="https://doi.org/10.22331/q-2023-03-13-946" TargetMode="External"/><Relationship Id="rId90" Type="http://schemas.openxmlformats.org/officeDocument/2006/relationships/hyperlink" Target="https://www.hpcwire.com/2025/10/21/ionq-achieves-worlds-highest-two-qubit-gate-fidelity/"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7063</Words>
  <Characters>39342</Characters>
  <Application>Microsoft Office Word</Application>
  <DocSecurity>0</DocSecurity>
  <Lines>1573</Lines>
  <Paragraphs>1008</Paragraphs>
  <ScaleCrop>false</ScaleCrop>
  <Company/>
  <LinksUpToDate>false</LinksUpToDate>
  <CharactersWithSpaces>45397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Blair</dc:creator>
  <cp:keywords/>
  <cp:lastModifiedBy>Eric Blair</cp:lastModifiedBy>
  <cp:revision>2</cp:revision>
  <dcterms:created xsi:type="dcterms:W3CDTF">2026-02-27T13:25:00Z</dcterms:created>
  <dcterms:modified xsi:type="dcterms:W3CDTF">2026-02-27T13:25:00Z</dcterms:modified>
</cp:coreProperties>
</file>