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B6DC" w14:textId="36EBF929" w:rsidR="00662E34" w:rsidRDefault="21428160" w:rsidP="3F1E78CD">
      <w:pPr>
        <w:spacing w:after="0" w:line="278" w:lineRule="auto"/>
        <w:rPr>
          <w:rFonts w:ascii="Arial" w:eastAsia="Arial" w:hAnsi="Arial" w:cs="Arial"/>
          <w:b/>
          <w:bCs/>
          <w:sz w:val="20"/>
          <w:szCs w:val="20"/>
        </w:rPr>
      </w:pPr>
      <w:r w:rsidRPr="3F1E78CD">
        <w:rPr>
          <w:rFonts w:ascii="Arial" w:eastAsia="Arial" w:hAnsi="Arial" w:cs="Arial"/>
          <w:b/>
          <w:bCs/>
          <w:sz w:val="20"/>
          <w:szCs w:val="20"/>
        </w:rPr>
        <w:t xml:space="preserve">SUPPORT: </w:t>
      </w:r>
      <w:r w:rsidR="00BD2FDF">
        <w:rPr>
          <w:rFonts w:ascii="Arial" w:eastAsia="Arial" w:hAnsi="Arial" w:cs="Arial"/>
          <w:b/>
          <w:bCs/>
          <w:sz w:val="20"/>
          <w:szCs w:val="20"/>
        </w:rPr>
        <w:t>Codebook</w:t>
      </w:r>
      <w:r w:rsidR="003E51EA">
        <w:rPr>
          <w:rFonts w:ascii="Arial" w:eastAsia="Arial" w:hAnsi="Arial" w:cs="Arial"/>
          <w:b/>
          <w:bCs/>
          <w:sz w:val="20"/>
          <w:szCs w:val="20"/>
        </w:rPr>
        <w:t xml:space="preserve"> for Focus Groups</w:t>
      </w:r>
    </w:p>
    <w:p w14:paraId="53B98277" w14:textId="2A129860" w:rsidR="00662E34" w:rsidRDefault="00662E34" w:rsidP="3F1E78CD">
      <w:pPr>
        <w:spacing w:after="0" w:line="278" w:lineRule="auto"/>
        <w:rPr>
          <w:rFonts w:ascii="Arial" w:eastAsia="Arial" w:hAnsi="Arial" w:cs="Arial"/>
          <w:b/>
          <w:bCs/>
          <w:i/>
          <w:iCs/>
          <w:sz w:val="20"/>
          <w:szCs w:val="20"/>
        </w:rPr>
      </w:pPr>
    </w:p>
    <w:p w14:paraId="304BFFBF" w14:textId="478FAECD" w:rsidR="00662E34" w:rsidRDefault="3E205D21" w:rsidP="122D13BB">
      <w:pPr>
        <w:pStyle w:val="ListParagraph"/>
        <w:numPr>
          <w:ilvl w:val="0"/>
          <w:numId w:val="1"/>
        </w:numPr>
        <w:spacing w:after="0" w:line="278" w:lineRule="auto"/>
        <w:rPr>
          <w:rFonts w:ascii="Arial" w:eastAsia="Arial" w:hAnsi="Arial" w:cs="Arial"/>
          <w:i/>
          <w:iCs/>
          <w:sz w:val="20"/>
          <w:szCs w:val="20"/>
        </w:rPr>
      </w:pPr>
      <w:r w:rsidRPr="122D13BB">
        <w:rPr>
          <w:rFonts w:ascii="Arial" w:eastAsia="Arial" w:hAnsi="Arial" w:cs="Arial"/>
          <w:b/>
          <w:bCs/>
          <w:sz w:val="20"/>
          <w:szCs w:val="20"/>
        </w:rPr>
        <w:t>Analytic</w:t>
      </w:r>
      <w:r w:rsidR="5FDA8D08" w:rsidRPr="122D13BB">
        <w:rPr>
          <w:rFonts w:ascii="Arial" w:eastAsia="Arial" w:hAnsi="Arial" w:cs="Arial"/>
          <w:b/>
          <w:bCs/>
          <w:sz w:val="20"/>
          <w:szCs w:val="20"/>
        </w:rPr>
        <w:t xml:space="preserve"> </w:t>
      </w:r>
      <w:r w:rsidR="7CE01404" w:rsidRPr="122D13BB">
        <w:rPr>
          <w:rFonts w:ascii="Arial" w:eastAsia="Arial" w:hAnsi="Arial" w:cs="Arial"/>
          <w:b/>
          <w:bCs/>
          <w:sz w:val="20"/>
          <w:szCs w:val="20"/>
        </w:rPr>
        <w:t>objective</w:t>
      </w:r>
      <w:r w:rsidR="21428160" w:rsidRPr="122D13BB">
        <w:rPr>
          <w:rFonts w:ascii="Arial" w:eastAsia="Arial" w:hAnsi="Arial" w:cs="Arial"/>
          <w:i/>
          <w:iCs/>
          <w:sz w:val="20"/>
          <w:szCs w:val="20"/>
        </w:rPr>
        <w:t xml:space="preserve">: </w:t>
      </w:r>
      <w:r w:rsidR="7FDA2FAF" w:rsidRPr="122D13BB">
        <w:rPr>
          <w:rFonts w:ascii="Arial" w:eastAsia="Arial" w:hAnsi="Arial" w:cs="Arial"/>
          <w:sz w:val="20"/>
          <w:szCs w:val="20"/>
        </w:rPr>
        <w:t>T</w:t>
      </w:r>
      <w:r w:rsidR="72BFC051" w:rsidRPr="122D13BB">
        <w:rPr>
          <w:rFonts w:ascii="Arial" w:eastAsia="Arial" w:hAnsi="Arial" w:cs="Arial"/>
          <w:sz w:val="20"/>
          <w:szCs w:val="20"/>
        </w:rPr>
        <w:t xml:space="preserve">o examine the </w:t>
      </w:r>
      <w:r w:rsidR="003E51EA">
        <w:rPr>
          <w:rFonts w:ascii="Arial" w:eastAsia="Arial" w:hAnsi="Arial" w:cs="Arial"/>
          <w:sz w:val="20"/>
          <w:szCs w:val="20"/>
        </w:rPr>
        <w:t>attitudes toward peer recovery support for opioid use disorder in the homeless health care setting</w:t>
      </w:r>
    </w:p>
    <w:p w14:paraId="6D567597" w14:textId="500A91FA" w:rsidR="00662E34" w:rsidRDefault="00662E34" w:rsidP="5B6C9CD4">
      <w:pPr>
        <w:pStyle w:val="ListParagraph"/>
        <w:spacing w:after="0" w:line="278" w:lineRule="auto"/>
        <w:ind w:hanging="360"/>
        <w:rPr>
          <w:rFonts w:ascii="Arial" w:eastAsia="Arial" w:hAnsi="Arial" w:cs="Arial"/>
          <w:i/>
          <w:iCs/>
          <w:sz w:val="20"/>
          <w:szCs w:val="20"/>
        </w:rPr>
      </w:pPr>
    </w:p>
    <w:p w14:paraId="294F6189" w14:textId="0F37618B" w:rsidR="00662E34" w:rsidRDefault="21428160" w:rsidP="3F1E78CD">
      <w:pPr>
        <w:pStyle w:val="ListParagraph"/>
        <w:numPr>
          <w:ilvl w:val="0"/>
          <w:numId w:val="1"/>
        </w:numPr>
        <w:spacing w:after="0" w:line="278" w:lineRule="auto"/>
        <w:rPr>
          <w:rFonts w:ascii="Arial" w:eastAsia="Arial" w:hAnsi="Arial" w:cs="Arial"/>
          <w:sz w:val="20"/>
          <w:szCs w:val="20"/>
        </w:rPr>
      </w:pPr>
      <w:r w:rsidRPr="3F1E78CD">
        <w:rPr>
          <w:rFonts w:ascii="Arial" w:eastAsia="Arial" w:hAnsi="Arial" w:cs="Arial"/>
          <w:b/>
          <w:bCs/>
          <w:sz w:val="20"/>
          <w:szCs w:val="20"/>
        </w:rPr>
        <w:t>General Coding Rules</w:t>
      </w:r>
      <w:r w:rsidRPr="3F1E78CD">
        <w:rPr>
          <w:rFonts w:ascii="Arial" w:eastAsia="Arial" w:hAnsi="Arial" w:cs="Arial"/>
          <w:sz w:val="20"/>
          <w:szCs w:val="20"/>
        </w:rPr>
        <w:t>:</w:t>
      </w:r>
    </w:p>
    <w:p w14:paraId="4F0AA0C5" w14:textId="21A6C0F5" w:rsidR="00251A83" w:rsidRPr="00B636D9" w:rsidRDefault="21428160" w:rsidP="00251A83">
      <w:pPr>
        <w:pStyle w:val="ListParagraph"/>
        <w:numPr>
          <w:ilvl w:val="1"/>
          <w:numId w:val="1"/>
        </w:numPr>
        <w:spacing w:after="0" w:line="278" w:lineRule="auto"/>
        <w:rPr>
          <w:rFonts w:ascii="Arial" w:eastAsia="Arial" w:hAnsi="Arial" w:cs="Arial"/>
          <w:color w:val="000000" w:themeColor="text1"/>
          <w:sz w:val="20"/>
          <w:szCs w:val="20"/>
        </w:rPr>
      </w:pPr>
      <w:r w:rsidRPr="00B636D9">
        <w:rPr>
          <w:rFonts w:ascii="Arial" w:eastAsia="Arial" w:hAnsi="Arial" w:cs="Arial"/>
          <w:color w:val="000000" w:themeColor="text1"/>
          <w:sz w:val="20"/>
          <w:szCs w:val="20"/>
        </w:rPr>
        <w:t>Code by passage (include timestamp, include punctuation)</w:t>
      </w:r>
      <w:r w:rsidR="00251A83" w:rsidRPr="00B636D9">
        <w:rPr>
          <w:rFonts w:ascii="Arial" w:eastAsia="Arial" w:hAnsi="Arial" w:cs="Arial"/>
          <w:color w:val="000000" w:themeColor="text1"/>
          <w:sz w:val="20"/>
          <w:szCs w:val="20"/>
        </w:rPr>
        <w:t>; do not include interviewer questions</w:t>
      </w:r>
    </w:p>
    <w:p w14:paraId="43CB1BB4" w14:textId="65C68D6B" w:rsidR="00662E34" w:rsidRPr="00B636D9" w:rsidRDefault="00251A83" w:rsidP="691C5527">
      <w:pPr>
        <w:pStyle w:val="ListParagraph"/>
        <w:numPr>
          <w:ilvl w:val="1"/>
          <w:numId w:val="1"/>
        </w:numPr>
        <w:spacing w:after="0" w:line="278" w:lineRule="auto"/>
        <w:rPr>
          <w:rFonts w:ascii="Arial" w:eastAsia="Arial" w:hAnsi="Arial" w:cs="Arial"/>
          <w:color w:val="000000" w:themeColor="text1"/>
          <w:sz w:val="20"/>
          <w:szCs w:val="20"/>
        </w:rPr>
      </w:pPr>
      <w:r w:rsidRPr="00B636D9">
        <w:rPr>
          <w:rFonts w:ascii="Arial" w:eastAsia="Arial" w:hAnsi="Arial" w:cs="Arial"/>
          <w:color w:val="000000" w:themeColor="text1"/>
          <w:sz w:val="20"/>
          <w:szCs w:val="20"/>
        </w:rPr>
        <w:t>O</w:t>
      </w:r>
      <w:r w:rsidR="21428160" w:rsidRPr="00B636D9">
        <w:rPr>
          <w:rFonts w:ascii="Arial" w:eastAsia="Arial" w:hAnsi="Arial" w:cs="Arial"/>
          <w:color w:val="000000" w:themeColor="text1"/>
          <w:sz w:val="20"/>
          <w:szCs w:val="20"/>
        </w:rPr>
        <w:t>kay to apply multiple codes to the same passage</w:t>
      </w:r>
    </w:p>
    <w:p w14:paraId="3536CAEE" w14:textId="73B08361" w:rsidR="00662E34" w:rsidRPr="00B636D9" w:rsidRDefault="21428160" w:rsidP="691C5527">
      <w:pPr>
        <w:pStyle w:val="ListParagraph"/>
        <w:numPr>
          <w:ilvl w:val="1"/>
          <w:numId w:val="1"/>
        </w:numPr>
        <w:spacing w:after="0" w:line="278" w:lineRule="auto"/>
        <w:rPr>
          <w:rFonts w:ascii="Arial" w:eastAsia="Arial" w:hAnsi="Arial" w:cs="Arial"/>
          <w:color w:val="000000" w:themeColor="text1"/>
          <w:sz w:val="20"/>
          <w:szCs w:val="20"/>
        </w:rPr>
      </w:pPr>
      <w:r w:rsidRPr="00B636D9">
        <w:rPr>
          <w:rFonts w:ascii="Arial" w:eastAsia="Arial" w:hAnsi="Arial" w:cs="Arial"/>
          <w:color w:val="000000" w:themeColor="text1"/>
          <w:sz w:val="20"/>
          <w:szCs w:val="20"/>
        </w:rPr>
        <w:t>Do not code simple one- or two-word responses (e.g., “yes” or “no”)</w:t>
      </w:r>
      <w:r w:rsidR="00995C2E">
        <w:rPr>
          <w:rFonts w:ascii="Arial" w:eastAsia="Arial" w:hAnsi="Arial" w:cs="Arial"/>
          <w:color w:val="000000" w:themeColor="text1"/>
          <w:sz w:val="20"/>
          <w:szCs w:val="20"/>
        </w:rPr>
        <w:t xml:space="preserve"> if they go on to elaborate.</w:t>
      </w:r>
    </w:p>
    <w:p w14:paraId="482AA077" w14:textId="742F9527" w:rsidR="00662E34" w:rsidRPr="00B636D9" w:rsidRDefault="21428160" w:rsidP="691C5527">
      <w:pPr>
        <w:pStyle w:val="ListParagraph"/>
        <w:numPr>
          <w:ilvl w:val="1"/>
          <w:numId w:val="1"/>
        </w:numPr>
        <w:spacing w:after="0" w:line="278" w:lineRule="auto"/>
        <w:rPr>
          <w:rFonts w:ascii="Arial" w:eastAsia="Arial" w:hAnsi="Arial" w:cs="Arial"/>
          <w:color w:val="000000" w:themeColor="text1"/>
          <w:sz w:val="20"/>
          <w:szCs w:val="20"/>
        </w:rPr>
      </w:pPr>
      <w:r w:rsidRPr="00B636D9">
        <w:rPr>
          <w:rFonts w:ascii="Arial" w:eastAsia="Arial" w:hAnsi="Arial" w:cs="Arial"/>
          <w:color w:val="000000" w:themeColor="text1"/>
          <w:sz w:val="20"/>
          <w:szCs w:val="20"/>
        </w:rPr>
        <w:t>Do not code simple “yes” responses if they are confirming a previously coded statement</w:t>
      </w:r>
    </w:p>
    <w:p w14:paraId="3D0A4FFC" w14:textId="58A69162" w:rsidR="00662E34" w:rsidRPr="00B636D9" w:rsidRDefault="21428160" w:rsidP="691C5527">
      <w:pPr>
        <w:pStyle w:val="ListParagraph"/>
        <w:numPr>
          <w:ilvl w:val="1"/>
          <w:numId w:val="1"/>
        </w:numPr>
        <w:spacing w:after="0" w:line="278" w:lineRule="auto"/>
        <w:rPr>
          <w:rFonts w:ascii="Arial" w:eastAsia="Arial" w:hAnsi="Arial" w:cs="Arial"/>
          <w:color w:val="000000" w:themeColor="text1"/>
          <w:sz w:val="20"/>
          <w:szCs w:val="20"/>
        </w:rPr>
      </w:pPr>
      <w:r w:rsidRPr="00B636D9">
        <w:rPr>
          <w:rFonts w:ascii="Arial" w:eastAsia="Arial" w:hAnsi="Arial" w:cs="Arial"/>
          <w:color w:val="000000" w:themeColor="text1"/>
          <w:sz w:val="20"/>
          <w:szCs w:val="20"/>
        </w:rPr>
        <w:t>Code “Interesting” for interesting quotes regardless of whether they fit other codes</w:t>
      </w:r>
    </w:p>
    <w:p w14:paraId="65771B6B" w14:textId="19C8F462" w:rsidR="691C5527" w:rsidRDefault="691C5527" w:rsidP="691C5527">
      <w:pPr>
        <w:spacing w:after="0" w:line="278" w:lineRule="auto"/>
        <w:rPr>
          <w:rFonts w:ascii="Arial" w:eastAsia="Arial" w:hAnsi="Arial" w:cs="Arial"/>
          <w:color w:val="000000" w:themeColor="text1"/>
          <w:sz w:val="20"/>
          <w:szCs w:val="20"/>
          <w:highlight w:val="yellow"/>
        </w:rPr>
      </w:pPr>
    </w:p>
    <w:tbl>
      <w:tblPr>
        <w:tblStyle w:val="TableGrid"/>
        <w:tblW w:w="9365" w:type="dxa"/>
        <w:tblInd w:w="-5" w:type="dxa"/>
        <w:tblLayout w:type="fixed"/>
        <w:tblLook w:val="06A0" w:firstRow="1" w:lastRow="0" w:firstColumn="1" w:lastColumn="0" w:noHBand="1" w:noVBand="1"/>
      </w:tblPr>
      <w:tblGrid>
        <w:gridCol w:w="3240"/>
        <w:gridCol w:w="6125"/>
      </w:tblGrid>
      <w:tr w:rsidR="009F3EBF" w14:paraId="77071575" w14:textId="77777777" w:rsidTr="59B9C689">
        <w:trPr>
          <w:trHeight w:val="300"/>
        </w:trPr>
        <w:tc>
          <w:tcPr>
            <w:tcW w:w="3240" w:type="dxa"/>
            <w:tcBorders>
              <w:bottom w:val="threeDEmboss" w:sz="24" w:space="0" w:color="auto"/>
            </w:tcBorders>
            <w:shd w:val="clear" w:color="auto" w:fill="E8E8E8" w:themeFill="background2"/>
            <w:vAlign w:val="center"/>
          </w:tcPr>
          <w:p w14:paraId="0EEC8694" w14:textId="77777777" w:rsidR="009F3EBF" w:rsidRDefault="009F3EBF" w:rsidP="00225072">
            <w:pPr>
              <w:rPr>
                <w:rFonts w:ascii="Arial" w:eastAsia="Arial" w:hAnsi="Arial" w:cs="Arial"/>
                <w:b/>
                <w:bCs/>
                <w:color w:val="000000" w:themeColor="text1"/>
                <w:sz w:val="20"/>
                <w:szCs w:val="20"/>
              </w:rPr>
            </w:pPr>
            <w:r w:rsidRPr="122D13BB">
              <w:rPr>
                <w:rFonts w:ascii="Arial" w:eastAsia="Arial" w:hAnsi="Arial" w:cs="Arial"/>
                <w:b/>
                <w:bCs/>
                <w:color w:val="000000" w:themeColor="text1"/>
                <w:sz w:val="20"/>
                <w:szCs w:val="20"/>
              </w:rPr>
              <w:t>Code</w:t>
            </w:r>
          </w:p>
        </w:tc>
        <w:tc>
          <w:tcPr>
            <w:tcW w:w="6125" w:type="dxa"/>
            <w:tcBorders>
              <w:bottom w:val="threeDEmboss" w:sz="24" w:space="0" w:color="auto"/>
            </w:tcBorders>
            <w:shd w:val="clear" w:color="auto" w:fill="E8E8E8" w:themeFill="background2"/>
            <w:vAlign w:val="center"/>
          </w:tcPr>
          <w:p w14:paraId="22F39E27" w14:textId="77777777" w:rsidR="009F3EBF" w:rsidRDefault="009F3EBF" w:rsidP="00225072">
            <w:pPr>
              <w:rPr>
                <w:rFonts w:ascii="Arial" w:eastAsia="Arial" w:hAnsi="Arial" w:cs="Arial"/>
                <w:b/>
                <w:bCs/>
                <w:color w:val="000000" w:themeColor="text1"/>
                <w:sz w:val="20"/>
                <w:szCs w:val="20"/>
              </w:rPr>
            </w:pPr>
            <w:r w:rsidRPr="122D13BB">
              <w:rPr>
                <w:rFonts w:ascii="Arial" w:eastAsia="Arial" w:hAnsi="Arial" w:cs="Arial"/>
                <w:b/>
                <w:bCs/>
                <w:color w:val="000000" w:themeColor="text1"/>
                <w:sz w:val="20"/>
                <w:szCs w:val="20"/>
              </w:rPr>
              <w:t>Description</w:t>
            </w:r>
          </w:p>
        </w:tc>
      </w:tr>
      <w:tr w:rsidR="009F3EBF" w14:paraId="5543D029" w14:textId="77777777" w:rsidTr="59B9C689">
        <w:trPr>
          <w:trHeight w:val="300"/>
        </w:trPr>
        <w:tc>
          <w:tcPr>
            <w:tcW w:w="9365" w:type="dxa"/>
            <w:gridSpan w:val="2"/>
            <w:tcBorders>
              <w:top w:val="threeDEmboss" w:sz="24" w:space="0" w:color="auto"/>
            </w:tcBorders>
            <w:shd w:val="clear" w:color="auto" w:fill="E8E8E8" w:themeFill="background2"/>
            <w:vAlign w:val="center"/>
          </w:tcPr>
          <w:p w14:paraId="65CF1ACB" w14:textId="77777777" w:rsidR="009F3EBF" w:rsidRDefault="009F3EBF" w:rsidP="00225072">
            <w:pPr>
              <w:rPr>
                <w:rFonts w:ascii="Arial" w:eastAsia="Arial" w:hAnsi="Arial" w:cs="Arial"/>
                <w:b/>
                <w:bCs/>
                <w:color w:val="000000" w:themeColor="text1"/>
                <w:sz w:val="20"/>
                <w:szCs w:val="20"/>
              </w:rPr>
            </w:pPr>
            <w:r>
              <w:rPr>
                <w:rFonts w:ascii="Arial" w:eastAsia="Arial" w:hAnsi="Arial" w:cs="Arial"/>
                <w:b/>
                <w:bCs/>
                <w:color w:val="000000" w:themeColor="text1"/>
                <w:sz w:val="20"/>
                <w:szCs w:val="20"/>
              </w:rPr>
              <w:t>Types of support</w:t>
            </w:r>
          </w:p>
        </w:tc>
      </w:tr>
      <w:tr w:rsidR="009F3EBF" w14:paraId="29817F61" w14:textId="77777777" w:rsidTr="59B9C689">
        <w:trPr>
          <w:trHeight w:val="300"/>
        </w:trPr>
        <w:tc>
          <w:tcPr>
            <w:tcW w:w="3240" w:type="dxa"/>
            <w:vAlign w:val="center"/>
          </w:tcPr>
          <w:p w14:paraId="25959CBF"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One-on-one support</w:t>
            </w:r>
          </w:p>
        </w:tc>
        <w:tc>
          <w:tcPr>
            <w:tcW w:w="6125" w:type="dxa"/>
            <w:vAlign w:val="center"/>
          </w:tcPr>
          <w:p w14:paraId="77AB1BC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Meeting with PRSS individually.</w:t>
            </w:r>
          </w:p>
          <w:p w14:paraId="7A55C409"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Includes mentoring (emotional support, listening, advice), and coaching (goal setting, action planning, feedback)</w:t>
            </w:r>
          </w:p>
          <w:p w14:paraId="474E7B30"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Covers rapport building (developing trust through repeated interactions)</w:t>
            </w:r>
          </w:p>
          <w:p w14:paraId="28D8CC43"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Includes frequency, location, and modality of these meetings</w:t>
            </w:r>
          </w:p>
          <w:p w14:paraId="2020E86E" w14:textId="647B94FF"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Also includes the importance of </w:t>
            </w:r>
            <w:r w:rsidRPr="008606F5">
              <w:rPr>
                <w:rFonts w:ascii="Arial" w:eastAsia="Arial" w:hAnsi="Arial" w:cs="Arial"/>
                <w:b/>
                <w:bCs/>
                <w:color w:val="000000" w:themeColor="text1"/>
                <w:sz w:val="20"/>
                <w:szCs w:val="20"/>
              </w:rPr>
              <w:t>on-call availability</w:t>
            </w:r>
            <w:r>
              <w:rPr>
                <w:rFonts w:ascii="Arial" w:eastAsia="Arial" w:hAnsi="Arial" w:cs="Arial"/>
                <w:color w:val="000000" w:themeColor="text1"/>
                <w:sz w:val="20"/>
                <w:szCs w:val="20"/>
              </w:rPr>
              <w:t xml:space="preserve"> (meeting/talking with patient when needed)</w:t>
            </w:r>
            <w:r w:rsidR="008606F5">
              <w:rPr>
                <w:rFonts w:ascii="Arial" w:eastAsia="Arial" w:hAnsi="Arial" w:cs="Arial"/>
                <w:color w:val="000000" w:themeColor="text1"/>
                <w:sz w:val="20"/>
                <w:szCs w:val="20"/>
              </w:rPr>
              <w:t xml:space="preserve"> and </w:t>
            </w:r>
            <w:r w:rsidR="008606F5" w:rsidRPr="008606F5">
              <w:rPr>
                <w:rFonts w:ascii="Arial" w:eastAsia="Arial" w:hAnsi="Arial" w:cs="Arial"/>
                <w:b/>
                <w:bCs/>
                <w:color w:val="000000" w:themeColor="text1"/>
                <w:sz w:val="20"/>
                <w:szCs w:val="20"/>
              </w:rPr>
              <w:t>proactive outreach</w:t>
            </w:r>
            <w:r w:rsidR="008606F5">
              <w:rPr>
                <w:rFonts w:ascii="Arial" w:eastAsia="Arial" w:hAnsi="Arial" w:cs="Arial"/>
                <w:color w:val="000000" w:themeColor="text1"/>
                <w:sz w:val="20"/>
                <w:szCs w:val="20"/>
              </w:rPr>
              <w:t xml:space="preserve"> (calling to check in with patients, or meeting them in a location that is comfortable for them)</w:t>
            </w:r>
          </w:p>
        </w:tc>
      </w:tr>
      <w:tr w:rsidR="009F3EBF" w14:paraId="59ED4648" w14:textId="77777777" w:rsidTr="59B9C689">
        <w:trPr>
          <w:trHeight w:val="300"/>
        </w:trPr>
        <w:tc>
          <w:tcPr>
            <w:tcW w:w="3240" w:type="dxa"/>
            <w:vAlign w:val="center"/>
          </w:tcPr>
          <w:p w14:paraId="680087A6"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Advocate</w:t>
            </w:r>
          </w:p>
        </w:tc>
        <w:tc>
          <w:tcPr>
            <w:tcW w:w="6125" w:type="dxa"/>
            <w:vAlign w:val="center"/>
          </w:tcPr>
          <w:p w14:paraId="7760DC3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PRSS advocating on behalf of the patient with treatment providers, family, or broader systems</w:t>
            </w:r>
          </w:p>
        </w:tc>
      </w:tr>
      <w:tr w:rsidR="009F3EBF" w14:paraId="0AD7167E" w14:textId="77777777" w:rsidTr="59B9C689">
        <w:trPr>
          <w:trHeight w:val="300"/>
        </w:trPr>
        <w:tc>
          <w:tcPr>
            <w:tcW w:w="3240" w:type="dxa"/>
            <w:vAlign w:val="center"/>
          </w:tcPr>
          <w:p w14:paraId="7EAE0E65"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Navigation</w:t>
            </w:r>
          </w:p>
        </w:tc>
        <w:tc>
          <w:tcPr>
            <w:tcW w:w="6125" w:type="dxa"/>
            <w:vAlign w:val="center"/>
          </w:tcPr>
          <w:p w14:paraId="766B3B83"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Help with navigating the health system: appointment reminders, transportation assistance, linkages to care (help connecting to services like mental health, detox, and support groups [i.e., AA/NA])</w:t>
            </w:r>
          </w:p>
        </w:tc>
      </w:tr>
      <w:tr w:rsidR="009F3EBF" w14:paraId="55BE6104" w14:textId="77777777" w:rsidTr="59B9C689">
        <w:trPr>
          <w:trHeight w:val="300"/>
        </w:trPr>
        <w:tc>
          <w:tcPr>
            <w:tcW w:w="3240" w:type="dxa"/>
            <w:vAlign w:val="center"/>
          </w:tcPr>
          <w:p w14:paraId="788683A9"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Social services</w:t>
            </w:r>
          </w:p>
        </w:tc>
        <w:tc>
          <w:tcPr>
            <w:tcW w:w="6125" w:type="dxa"/>
            <w:vAlign w:val="center"/>
          </w:tcPr>
          <w:p w14:paraId="5B75EAD2"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Support with social services, such as help with legal issues, cash assistance, housing, educational progression, other case management needs</w:t>
            </w:r>
          </w:p>
        </w:tc>
      </w:tr>
      <w:tr w:rsidR="009F3EBF" w14:paraId="4F178B1F" w14:textId="77777777" w:rsidTr="59B9C689">
        <w:trPr>
          <w:trHeight w:val="300"/>
        </w:trPr>
        <w:tc>
          <w:tcPr>
            <w:tcW w:w="3240" w:type="dxa"/>
            <w:vAlign w:val="center"/>
          </w:tcPr>
          <w:p w14:paraId="039CB16C"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Socialization opportunities</w:t>
            </w:r>
          </w:p>
        </w:tc>
        <w:tc>
          <w:tcPr>
            <w:tcW w:w="6125" w:type="dxa"/>
            <w:vAlign w:val="center"/>
          </w:tcPr>
          <w:p w14:paraId="2D4F1CFB"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Facilitating social opportunities or social connection</w:t>
            </w:r>
          </w:p>
        </w:tc>
      </w:tr>
      <w:tr w:rsidR="009F3EBF" w14:paraId="62DA2A08" w14:textId="77777777" w:rsidTr="59B9C689">
        <w:trPr>
          <w:trHeight w:val="300"/>
        </w:trPr>
        <w:tc>
          <w:tcPr>
            <w:tcW w:w="3240" w:type="dxa"/>
            <w:vAlign w:val="center"/>
          </w:tcPr>
          <w:p w14:paraId="5540F81B"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Tangibles</w:t>
            </w:r>
          </w:p>
        </w:tc>
        <w:tc>
          <w:tcPr>
            <w:tcW w:w="6125" w:type="dxa"/>
            <w:vAlign w:val="center"/>
          </w:tcPr>
          <w:p w14:paraId="387B0777"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Provision of concrete items (i.e., clothing, phones, cigarettes) that meet immediate needs</w:t>
            </w:r>
          </w:p>
        </w:tc>
      </w:tr>
      <w:tr w:rsidR="009F3EBF" w14:paraId="34D96290" w14:textId="77777777" w:rsidTr="59B9C689">
        <w:trPr>
          <w:trHeight w:val="300"/>
        </w:trPr>
        <w:tc>
          <w:tcPr>
            <w:tcW w:w="3240" w:type="dxa"/>
            <w:vAlign w:val="center"/>
          </w:tcPr>
          <w:p w14:paraId="668B71E2"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Harm reduction</w:t>
            </w:r>
          </w:p>
        </w:tc>
        <w:tc>
          <w:tcPr>
            <w:tcW w:w="6125" w:type="dxa"/>
            <w:vAlign w:val="center"/>
          </w:tcPr>
          <w:p w14:paraId="0E9CEA6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w:t>
            </w:r>
            <w:r w:rsidRPr="00D530B2">
              <w:rPr>
                <w:rFonts w:ascii="Arial" w:eastAsia="Arial" w:hAnsi="Arial" w:cs="Arial"/>
                <w:color w:val="000000" w:themeColor="text1"/>
                <w:sz w:val="20"/>
                <w:szCs w:val="20"/>
              </w:rPr>
              <w:t xml:space="preserve">Support or education aimed at reducing the negative consequences of drug use, including distribution of naloxone, </w:t>
            </w:r>
            <w:r>
              <w:rPr>
                <w:rFonts w:ascii="Arial" w:eastAsia="Arial" w:hAnsi="Arial" w:cs="Arial"/>
                <w:color w:val="000000" w:themeColor="text1"/>
                <w:sz w:val="20"/>
                <w:szCs w:val="20"/>
              </w:rPr>
              <w:t xml:space="preserve">education around </w:t>
            </w:r>
            <w:r w:rsidRPr="00D530B2">
              <w:rPr>
                <w:rFonts w:ascii="Arial" w:eastAsia="Arial" w:hAnsi="Arial" w:cs="Arial"/>
                <w:color w:val="000000" w:themeColor="text1"/>
                <w:sz w:val="20"/>
                <w:szCs w:val="20"/>
              </w:rPr>
              <w:t>overdose prevention strategies, safer use messaging, and nonjudgmental provision of supplies.</w:t>
            </w:r>
            <w:r>
              <w:rPr>
                <w:rFonts w:ascii="Arial" w:eastAsia="Arial" w:hAnsi="Arial" w:cs="Arial"/>
                <w:color w:val="000000" w:themeColor="text1"/>
                <w:sz w:val="20"/>
                <w:szCs w:val="20"/>
              </w:rPr>
              <w:t xml:space="preserve"> </w:t>
            </w:r>
          </w:p>
        </w:tc>
      </w:tr>
      <w:tr w:rsidR="009F3EBF" w14:paraId="4252B2F3" w14:textId="77777777" w:rsidTr="59B9C689">
        <w:trPr>
          <w:trHeight w:val="300"/>
        </w:trPr>
        <w:tc>
          <w:tcPr>
            <w:tcW w:w="3240" w:type="dxa"/>
            <w:vAlign w:val="center"/>
          </w:tcPr>
          <w:p w14:paraId="12A6EC6E"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Education</w:t>
            </w:r>
          </w:p>
        </w:tc>
        <w:tc>
          <w:tcPr>
            <w:tcW w:w="6125" w:type="dxa"/>
            <w:vAlign w:val="center"/>
          </w:tcPr>
          <w:p w14:paraId="28C901B1" w14:textId="225501EF"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Explanation of treatment processes, systems, </w:t>
            </w:r>
            <w:r w:rsidR="009F1DC0">
              <w:rPr>
                <w:rFonts w:ascii="Arial" w:eastAsia="Arial" w:hAnsi="Arial" w:cs="Arial"/>
                <w:color w:val="000000" w:themeColor="text1"/>
                <w:sz w:val="20"/>
                <w:szCs w:val="20"/>
              </w:rPr>
              <w:t xml:space="preserve">recovery pathways, and </w:t>
            </w:r>
            <w:r>
              <w:rPr>
                <w:rFonts w:ascii="Arial" w:eastAsia="Arial" w:hAnsi="Arial" w:cs="Arial"/>
                <w:color w:val="000000" w:themeColor="text1"/>
                <w:sz w:val="20"/>
                <w:szCs w:val="20"/>
              </w:rPr>
              <w:t xml:space="preserve">MOUD; helping participants understand options and manage recovery </w:t>
            </w:r>
          </w:p>
        </w:tc>
      </w:tr>
      <w:tr w:rsidR="009F3EBF" w14:paraId="210AAAC7" w14:textId="77777777" w:rsidTr="59B9C689">
        <w:trPr>
          <w:trHeight w:val="300"/>
        </w:trPr>
        <w:tc>
          <w:tcPr>
            <w:tcW w:w="3240" w:type="dxa"/>
            <w:vAlign w:val="center"/>
          </w:tcPr>
          <w:p w14:paraId="79A7F156"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Role modeling</w:t>
            </w:r>
          </w:p>
        </w:tc>
        <w:tc>
          <w:tcPr>
            <w:tcW w:w="6125" w:type="dxa"/>
            <w:vAlign w:val="center"/>
          </w:tcPr>
          <w:p w14:paraId="3AE26103"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PRSS is perceived as someone who embodies recovery in action, not just someone who shares their history (may involve shared experience, but this code is about the impact of PRSS behavior or recovery story rather than background alone)</w:t>
            </w:r>
          </w:p>
          <w:p w14:paraId="19B071CE"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Seen as someone to emulate and inspires hope</w:t>
            </w:r>
          </w:p>
        </w:tc>
      </w:tr>
      <w:tr w:rsidR="009F3EBF" w14:paraId="2EA39868" w14:textId="77777777" w:rsidTr="59B9C689">
        <w:trPr>
          <w:trHeight w:val="300"/>
        </w:trPr>
        <w:tc>
          <w:tcPr>
            <w:tcW w:w="3240" w:type="dxa"/>
            <w:vAlign w:val="center"/>
          </w:tcPr>
          <w:p w14:paraId="683A468A"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Groups</w:t>
            </w:r>
          </w:p>
        </w:tc>
        <w:tc>
          <w:tcPr>
            <w:tcW w:w="6125" w:type="dxa"/>
            <w:vAlign w:val="center"/>
          </w:tcPr>
          <w:p w14:paraId="1EB10EA0"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Discussions of recovery groups, including peer-led groups, AA/NA; includes frequency and location of groups</w:t>
            </w:r>
          </w:p>
          <w:p w14:paraId="098AD896"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lastRenderedPageBreak/>
              <w:t>- Includes discussions around spiritual vs. educational groups</w:t>
            </w:r>
          </w:p>
        </w:tc>
      </w:tr>
      <w:tr w:rsidR="009F3EBF" w14:paraId="7A191661" w14:textId="77777777" w:rsidTr="59B9C689">
        <w:trPr>
          <w:trHeight w:val="300"/>
        </w:trPr>
        <w:tc>
          <w:tcPr>
            <w:tcW w:w="9365" w:type="dxa"/>
            <w:gridSpan w:val="2"/>
            <w:shd w:val="clear" w:color="auto" w:fill="E8E8E8" w:themeFill="background2"/>
            <w:vAlign w:val="center"/>
          </w:tcPr>
          <w:p w14:paraId="551AA42C" w14:textId="77777777" w:rsidR="009F3EBF" w:rsidRPr="00F402EA" w:rsidRDefault="009F3EBF" w:rsidP="00225072">
            <w:pPr>
              <w:rPr>
                <w:rFonts w:ascii="Arial" w:eastAsia="Arial" w:hAnsi="Arial" w:cs="Arial"/>
                <w:b/>
                <w:bCs/>
                <w:color w:val="000000" w:themeColor="text1"/>
                <w:sz w:val="20"/>
                <w:szCs w:val="20"/>
              </w:rPr>
            </w:pPr>
            <w:r>
              <w:rPr>
                <w:rFonts w:ascii="Arial" w:eastAsia="Arial" w:hAnsi="Arial" w:cs="Arial"/>
                <w:b/>
                <w:bCs/>
                <w:color w:val="000000" w:themeColor="text1"/>
                <w:sz w:val="20"/>
                <w:szCs w:val="20"/>
              </w:rPr>
              <w:lastRenderedPageBreak/>
              <w:t>PRSS Characteristics</w:t>
            </w:r>
          </w:p>
        </w:tc>
      </w:tr>
      <w:tr w:rsidR="009F3EBF" w14:paraId="4F044D67" w14:textId="77777777" w:rsidTr="59B9C689">
        <w:trPr>
          <w:trHeight w:val="300"/>
        </w:trPr>
        <w:tc>
          <w:tcPr>
            <w:tcW w:w="3240" w:type="dxa"/>
            <w:vAlign w:val="center"/>
          </w:tcPr>
          <w:p w14:paraId="2F7C84BF"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Relational attributes</w:t>
            </w:r>
          </w:p>
        </w:tc>
        <w:tc>
          <w:tcPr>
            <w:tcW w:w="6125" w:type="dxa"/>
            <w:vAlign w:val="center"/>
          </w:tcPr>
          <w:p w14:paraId="56FD5074"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Key interpersonal qualities of the PRSS that support trust and connection. Includes being </w:t>
            </w:r>
            <w:r w:rsidRPr="00D17870">
              <w:rPr>
                <w:rFonts w:ascii="Arial" w:eastAsia="Arial" w:hAnsi="Arial" w:cs="Arial"/>
                <w:b/>
                <w:bCs/>
                <w:color w:val="000000" w:themeColor="text1"/>
                <w:sz w:val="20"/>
                <w:szCs w:val="20"/>
              </w:rPr>
              <w:t>trust</w:t>
            </w:r>
            <w:r>
              <w:rPr>
                <w:rFonts w:ascii="Arial" w:eastAsia="Arial" w:hAnsi="Arial" w:cs="Arial"/>
                <w:b/>
                <w:bCs/>
                <w:color w:val="000000" w:themeColor="text1"/>
                <w:sz w:val="20"/>
                <w:szCs w:val="20"/>
              </w:rPr>
              <w:t>worthy</w:t>
            </w:r>
            <w:r w:rsidRPr="00D17870">
              <w:rPr>
                <w:rFonts w:ascii="Arial" w:eastAsia="Arial" w:hAnsi="Arial" w:cs="Arial"/>
                <w:b/>
                <w:bCs/>
                <w:color w:val="000000" w:themeColor="text1"/>
                <w:sz w:val="20"/>
                <w:szCs w:val="20"/>
              </w:rPr>
              <w:t xml:space="preserve"> </w:t>
            </w:r>
            <w:r>
              <w:rPr>
                <w:rFonts w:ascii="Arial" w:eastAsia="Arial" w:hAnsi="Arial" w:cs="Arial"/>
                <w:color w:val="000000" w:themeColor="text1"/>
                <w:sz w:val="20"/>
                <w:szCs w:val="20"/>
              </w:rPr>
              <w:t xml:space="preserve">(importance of trust in the PRSS, ability to be honest with the PRSS more than with other providers, as well as concerns about lack of trust/confidentiality can impair the relationship), </w:t>
            </w:r>
            <w:r w:rsidRPr="00D17870">
              <w:rPr>
                <w:rFonts w:ascii="Arial" w:eastAsia="Arial" w:hAnsi="Arial" w:cs="Arial"/>
                <w:b/>
                <w:bCs/>
                <w:color w:val="000000" w:themeColor="text1"/>
                <w:sz w:val="20"/>
                <w:szCs w:val="20"/>
              </w:rPr>
              <w:t>non-judgmental</w:t>
            </w:r>
            <w:r>
              <w:rPr>
                <w:rFonts w:ascii="Arial" w:eastAsia="Arial" w:hAnsi="Arial" w:cs="Arial"/>
                <w:color w:val="000000" w:themeColor="text1"/>
                <w:sz w:val="20"/>
                <w:szCs w:val="20"/>
              </w:rPr>
              <w:t xml:space="preserve"> (PRSS perceived as open-minded, non-judgmental; or discussion about this being a desired attribute), </w:t>
            </w:r>
            <w:r w:rsidRPr="00D17870">
              <w:rPr>
                <w:rFonts w:ascii="Arial" w:eastAsia="Arial" w:hAnsi="Arial" w:cs="Arial"/>
                <w:b/>
                <w:bCs/>
                <w:color w:val="000000" w:themeColor="text1"/>
                <w:sz w:val="20"/>
                <w:szCs w:val="20"/>
              </w:rPr>
              <w:t>caring/empathetic</w:t>
            </w:r>
            <w:r>
              <w:rPr>
                <w:rFonts w:ascii="Arial" w:eastAsia="Arial" w:hAnsi="Arial" w:cs="Arial"/>
                <w:color w:val="000000" w:themeColor="text1"/>
                <w:sz w:val="20"/>
                <w:szCs w:val="20"/>
              </w:rPr>
              <w:t xml:space="preserve"> (PRSS perceived as empathetic and caring, or discussion about this being a desired attribute), and </w:t>
            </w:r>
            <w:r w:rsidRPr="00D17870">
              <w:rPr>
                <w:rFonts w:ascii="Arial" w:eastAsia="Arial" w:hAnsi="Arial" w:cs="Arial"/>
                <w:b/>
                <w:bCs/>
                <w:color w:val="000000" w:themeColor="text1"/>
                <w:sz w:val="20"/>
                <w:szCs w:val="20"/>
              </w:rPr>
              <w:t>honest</w:t>
            </w:r>
            <w:r>
              <w:rPr>
                <w:rFonts w:ascii="Arial" w:eastAsia="Arial" w:hAnsi="Arial" w:cs="Arial"/>
                <w:color w:val="000000" w:themeColor="text1"/>
                <w:sz w:val="20"/>
                <w:szCs w:val="20"/>
              </w:rPr>
              <w:t xml:space="preserve"> (PRSS is willing to be open and honest with patients; PRSS is direct with patient)</w:t>
            </w:r>
          </w:p>
        </w:tc>
      </w:tr>
      <w:tr w:rsidR="009F3EBF" w14:paraId="60384FA0" w14:textId="77777777" w:rsidTr="59B9C689">
        <w:trPr>
          <w:trHeight w:val="300"/>
        </w:trPr>
        <w:tc>
          <w:tcPr>
            <w:tcW w:w="3240" w:type="dxa"/>
            <w:vAlign w:val="center"/>
          </w:tcPr>
          <w:p w14:paraId="731A4B65"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Patient-PRSS fit</w:t>
            </w:r>
          </w:p>
        </w:tc>
        <w:tc>
          <w:tcPr>
            <w:tcW w:w="6125" w:type="dxa"/>
            <w:vAlign w:val="center"/>
          </w:tcPr>
          <w:p w14:paraId="52CB5FDF"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w:t>
            </w:r>
            <w:r w:rsidRPr="00DB6995">
              <w:rPr>
                <w:rFonts w:ascii="Arial" w:eastAsia="Arial" w:hAnsi="Arial" w:cs="Arial"/>
                <w:b/>
                <w:bCs/>
                <w:color w:val="000000" w:themeColor="text1"/>
                <w:sz w:val="20"/>
                <w:szCs w:val="20"/>
              </w:rPr>
              <w:t>Demographics:</w:t>
            </w:r>
            <w:r>
              <w:rPr>
                <w:rFonts w:ascii="Arial" w:eastAsia="Arial" w:hAnsi="Arial" w:cs="Arial"/>
                <w:color w:val="000000" w:themeColor="text1"/>
                <w:sz w:val="20"/>
                <w:szCs w:val="20"/>
              </w:rPr>
              <w:t xml:space="preserve"> Age, race, gender, as they impact fit or comfort level between patient and PRSS</w:t>
            </w:r>
          </w:p>
          <w:p w14:paraId="5F29C35A" w14:textId="287E2579"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w:t>
            </w:r>
            <w:r w:rsidRPr="00DB6995">
              <w:rPr>
                <w:rFonts w:ascii="Arial" w:eastAsia="Arial" w:hAnsi="Arial" w:cs="Arial"/>
                <w:b/>
                <w:bCs/>
                <w:color w:val="000000" w:themeColor="text1"/>
                <w:sz w:val="20"/>
                <w:szCs w:val="20"/>
              </w:rPr>
              <w:t>Personal fit:</w:t>
            </w:r>
            <w:r>
              <w:rPr>
                <w:rFonts w:ascii="Arial" w:eastAsia="Arial" w:hAnsi="Arial" w:cs="Arial"/>
                <w:color w:val="000000" w:themeColor="text1"/>
                <w:sz w:val="20"/>
                <w:szCs w:val="20"/>
              </w:rPr>
              <w:t xml:space="preserve"> Refers to the </w:t>
            </w:r>
            <w:r w:rsidRPr="00DB6995">
              <w:rPr>
                <w:rFonts w:ascii="Arial" w:eastAsia="Arial" w:hAnsi="Arial" w:cs="Arial"/>
                <w:color w:val="000000" w:themeColor="text1"/>
                <w:sz w:val="20"/>
                <w:szCs w:val="20"/>
              </w:rPr>
              <w:t xml:space="preserve">interpersonal </w:t>
            </w:r>
            <w:r>
              <w:rPr>
                <w:rFonts w:ascii="Arial" w:eastAsia="Arial" w:hAnsi="Arial" w:cs="Arial"/>
                <w:color w:val="000000" w:themeColor="text1"/>
                <w:sz w:val="20"/>
                <w:szCs w:val="20"/>
              </w:rPr>
              <w:t>compatibility between the patient and the PRSS</w:t>
            </w:r>
            <w:r w:rsidR="001C2E24">
              <w:rPr>
                <w:rFonts w:ascii="Arial" w:eastAsia="Arial" w:hAnsi="Arial" w:cs="Arial"/>
                <w:color w:val="000000" w:themeColor="text1"/>
                <w:sz w:val="20"/>
                <w:szCs w:val="20"/>
              </w:rPr>
              <w:t>, including approach to recovery</w:t>
            </w:r>
          </w:p>
        </w:tc>
      </w:tr>
      <w:tr w:rsidR="009F3EBF" w14:paraId="6B66B388" w14:textId="77777777" w:rsidTr="59B9C689">
        <w:trPr>
          <w:trHeight w:val="300"/>
        </w:trPr>
        <w:tc>
          <w:tcPr>
            <w:tcW w:w="3240" w:type="dxa"/>
            <w:vAlign w:val="center"/>
          </w:tcPr>
          <w:p w14:paraId="6B539799"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Work ethic</w:t>
            </w:r>
          </w:p>
        </w:tc>
        <w:tc>
          <w:tcPr>
            <w:tcW w:w="6125" w:type="dxa"/>
            <w:vAlign w:val="center"/>
          </w:tcPr>
          <w:p w14:paraId="00EBA6B2"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Includes </w:t>
            </w:r>
            <w:r w:rsidRPr="00835BA6">
              <w:rPr>
                <w:rFonts w:ascii="Arial" w:eastAsia="Arial" w:hAnsi="Arial" w:cs="Arial"/>
                <w:b/>
                <w:bCs/>
                <w:color w:val="000000" w:themeColor="text1"/>
                <w:sz w:val="20"/>
                <w:szCs w:val="20"/>
              </w:rPr>
              <w:t>dedica</w:t>
            </w:r>
            <w:r>
              <w:rPr>
                <w:rFonts w:ascii="Arial" w:eastAsia="Arial" w:hAnsi="Arial" w:cs="Arial"/>
                <w:b/>
                <w:bCs/>
                <w:color w:val="000000" w:themeColor="text1"/>
                <w:sz w:val="20"/>
                <w:szCs w:val="20"/>
              </w:rPr>
              <w:t>tion</w:t>
            </w:r>
            <w:r>
              <w:rPr>
                <w:rFonts w:ascii="Arial" w:eastAsia="Arial" w:hAnsi="Arial" w:cs="Arial"/>
                <w:color w:val="000000" w:themeColor="text1"/>
                <w:sz w:val="20"/>
                <w:szCs w:val="20"/>
              </w:rPr>
              <w:t xml:space="preserve"> (PRSS commitment to patients and consistency are valued, including discussions of being motivated to give back) and </w:t>
            </w:r>
            <w:r>
              <w:rPr>
                <w:rFonts w:ascii="Arial" w:eastAsia="Arial" w:hAnsi="Arial" w:cs="Arial"/>
                <w:b/>
                <w:bCs/>
                <w:color w:val="000000" w:themeColor="text1"/>
                <w:sz w:val="20"/>
                <w:szCs w:val="20"/>
              </w:rPr>
              <w:t>reliability</w:t>
            </w:r>
            <w:r>
              <w:rPr>
                <w:rFonts w:ascii="Arial" w:eastAsia="Arial" w:hAnsi="Arial" w:cs="Arial"/>
                <w:color w:val="000000" w:themeColor="text1"/>
                <w:sz w:val="20"/>
                <w:szCs w:val="20"/>
              </w:rPr>
              <w:t xml:space="preserve"> (Ability to be reliable and follow through are valued attributes for the PRSS)</w:t>
            </w:r>
          </w:p>
        </w:tc>
      </w:tr>
      <w:tr w:rsidR="009F3EBF" w14:paraId="4E17FCFC" w14:textId="77777777" w:rsidTr="59B9C689">
        <w:trPr>
          <w:trHeight w:val="300"/>
        </w:trPr>
        <w:tc>
          <w:tcPr>
            <w:tcW w:w="3240" w:type="dxa"/>
            <w:vAlign w:val="center"/>
          </w:tcPr>
          <w:p w14:paraId="5E026370"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Lived experience </w:t>
            </w:r>
          </w:p>
        </w:tc>
        <w:tc>
          <w:tcPr>
            <w:tcW w:w="6125" w:type="dxa"/>
            <w:vAlign w:val="center"/>
          </w:tcPr>
          <w:p w14:paraId="1CADAECF"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Importance of having shared experience of substance use, recovery, MOUD, and homelessness with PRSS; includes discussions of how the perception of the importance of lived experience can change over time</w:t>
            </w:r>
          </w:p>
        </w:tc>
      </w:tr>
      <w:tr w:rsidR="009F3EBF" w14:paraId="59A2E3B5" w14:textId="77777777" w:rsidTr="59B9C689">
        <w:trPr>
          <w:trHeight w:val="300"/>
        </w:trPr>
        <w:tc>
          <w:tcPr>
            <w:tcW w:w="3240" w:type="dxa"/>
            <w:vAlign w:val="center"/>
          </w:tcPr>
          <w:p w14:paraId="09513BD2"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Knowledgeable</w:t>
            </w:r>
          </w:p>
        </w:tc>
        <w:tc>
          <w:tcPr>
            <w:tcW w:w="6125" w:type="dxa"/>
            <w:vAlign w:val="center"/>
          </w:tcPr>
          <w:p w14:paraId="0C70ACD3" w14:textId="1EA10D8E"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PRSS knowledge about recovery</w:t>
            </w:r>
            <w:r w:rsidR="001C7B8D">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drugs, and systems (housing system, legal system), valued even without lived experience</w:t>
            </w:r>
          </w:p>
        </w:tc>
      </w:tr>
      <w:tr w:rsidR="009F3EBF" w14:paraId="6E7244A4" w14:textId="77777777" w:rsidTr="59B9C689">
        <w:trPr>
          <w:trHeight w:val="300"/>
        </w:trPr>
        <w:tc>
          <w:tcPr>
            <w:tcW w:w="3240" w:type="dxa"/>
            <w:vAlign w:val="center"/>
          </w:tcPr>
          <w:p w14:paraId="5906746A"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Recovery status</w:t>
            </w:r>
          </w:p>
        </w:tc>
        <w:tc>
          <w:tcPr>
            <w:tcW w:w="6125" w:type="dxa"/>
            <w:vAlign w:val="center"/>
          </w:tcPr>
          <w:p w14:paraId="67ACE24B"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Time in recovery and perceived stability of the PRSS (e.g., housing, drug use, etc)</w:t>
            </w:r>
          </w:p>
        </w:tc>
      </w:tr>
      <w:tr w:rsidR="009F3EBF" w14:paraId="48127313" w14:textId="77777777" w:rsidTr="59B9C689">
        <w:trPr>
          <w:trHeight w:val="300"/>
        </w:trPr>
        <w:tc>
          <w:tcPr>
            <w:tcW w:w="3240" w:type="dxa"/>
            <w:vAlign w:val="center"/>
          </w:tcPr>
          <w:p w14:paraId="2B5038DC"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Health</w:t>
            </w:r>
          </w:p>
        </w:tc>
        <w:tc>
          <w:tcPr>
            <w:tcW w:w="6125" w:type="dxa"/>
            <w:vAlign w:val="center"/>
          </w:tcPr>
          <w:p w14:paraId="3FA2152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Comments about the PRSS’s physical or mental health and its impact on their effectiveness or credibility</w:t>
            </w:r>
          </w:p>
        </w:tc>
      </w:tr>
      <w:tr w:rsidR="009F3EBF" w14:paraId="49B73CA6" w14:textId="77777777" w:rsidTr="59B9C689">
        <w:trPr>
          <w:trHeight w:val="300"/>
        </w:trPr>
        <w:tc>
          <w:tcPr>
            <w:tcW w:w="9365" w:type="dxa"/>
            <w:gridSpan w:val="2"/>
            <w:shd w:val="clear" w:color="auto" w:fill="E8E8E8" w:themeFill="background2"/>
            <w:vAlign w:val="center"/>
          </w:tcPr>
          <w:p w14:paraId="06D58E0D" w14:textId="77777777" w:rsidR="009F3EBF" w:rsidRPr="00F402EA" w:rsidRDefault="009F3EBF" w:rsidP="00225072">
            <w:pPr>
              <w:rPr>
                <w:rFonts w:ascii="Arial" w:eastAsia="Arial" w:hAnsi="Arial" w:cs="Arial"/>
                <w:b/>
                <w:bCs/>
                <w:color w:val="000000" w:themeColor="text1"/>
                <w:sz w:val="20"/>
                <w:szCs w:val="20"/>
              </w:rPr>
            </w:pPr>
            <w:r>
              <w:rPr>
                <w:rFonts w:ascii="Arial" w:eastAsia="Arial" w:hAnsi="Arial" w:cs="Arial"/>
                <w:b/>
                <w:bCs/>
                <w:color w:val="000000" w:themeColor="text1"/>
                <w:sz w:val="20"/>
                <w:szCs w:val="20"/>
              </w:rPr>
              <w:t>Context and personal narrative</w:t>
            </w:r>
          </w:p>
        </w:tc>
      </w:tr>
      <w:tr w:rsidR="009F3EBF" w14:paraId="039C21D1" w14:textId="77777777" w:rsidTr="59B9C689">
        <w:trPr>
          <w:trHeight w:val="300"/>
        </w:trPr>
        <w:tc>
          <w:tcPr>
            <w:tcW w:w="3240" w:type="dxa"/>
            <w:vAlign w:val="center"/>
          </w:tcPr>
          <w:p w14:paraId="159E816D" w14:textId="77777777" w:rsidR="009F3EBF" w:rsidRDefault="009F3EBF" w:rsidP="00225072">
            <w:pPr>
              <w:rPr>
                <w:rFonts w:ascii="Arial" w:eastAsia="Arial" w:hAnsi="Arial" w:cs="Arial"/>
                <w:color w:val="000000" w:themeColor="text1"/>
                <w:sz w:val="20"/>
                <w:szCs w:val="20"/>
              </w:rPr>
            </w:pPr>
            <w:r w:rsidRPr="007F74B4">
              <w:rPr>
                <w:rFonts w:ascii="Arial" w:eastAsia="Arial" w:hAnsi="Arial" w:cs="Arial"/>
                <w:color w:val="000000" w:themeColor="text1"/>
                <w:sz w:val="20"/>
                <w:szCs w:val="20"/>
              </w:rPr>
              <w:t>Personal Commitment</w:t>
            </w:r>
          </w:p>
        </w:tc>
        <w:tc>
          <w:tcPr>
            <w:tcW w:w="6125" w:type="dxa"/>
            <w:vAlign w:val="center"/>
          </w:tcPr>
          <w:p w14:paraId="7CD7F342"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w:t>
            </w:r>
            <w:r w:rsidRPr="00A975BA">
              <w:rPr>
                <w:rFonts w:ascii="Arial" w:eastAsia="Arial" w:hAnsi="Arial" w:cs="Arial"/>
                <w:color w:val="000000" w:themeColor="text1"/>
                <w:sz w:val="20"/>
                <w:szCs w:val="20"/>
              </w:rPr>
              <w:t>Participant’s internal motivation and readiness for recovery. Includes recognition that PRSS support helps but is not sufficient without buy-in.</w:t>
            </w:r>
          </w:p>
        </w:tc>
      </w:tr>
      <w:tr w:rsidR="009F3EBF" w14:paraId="6929ADEF" w14:textId="77777777" w:rsidTr="59B9C689">
        <w:trPr>
          <w:trHeight w:val="300"/>
        </w:trPr>
        <w:tc>
          <w:tcPr>
            <w:tcW w:w="3240" w:type="dxa"/>
            <w:vAlign w:val="center"/>
          </w:tcPr>
          <w:p w14:paraId="17CA05B3"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Attitudes toward PRSS/peer support</w:t>
            </w:r>
          </w:p>
        </w:tc>
        <w:tc>
          <w:tcPr>
            <w:tcW w:w="6125" w:type="dxa"/>
            <w:vAlign w:val="center"/>
          </w:tcPr>
          <w:p w14:paraId="3C497566"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Perceptions of PRSS as helpful/important or unhelpful/unimportant for recovery</w:t>
            </w:r>
          </w:p>
        </w:tc>
      </w:tr>
      <w:tr w:rsidR="009F3EBF" w14:paraId="77B95251" w14:textId="77777777" w:rsidTr="59B9C689">
        <w:trPr>
          <w:trHeight w:val="300"/>
        </w:trPr>
        <w:tc>
          <w:tcPr>
            <w:tcW w:w="3240" w:type="dxa"/>
            <w:vAlign w:val="center"/>
          </w:tcPr>
          <w:p w14:paraId="7F02888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MOUD experiences</w:t>
            </w:r>
          </w:p>
        </w:tc>
        <w:tc>
          <w:tcPr>
            <w:tcW w:w="6125" w:type="dxa"/>
            <w:vAlign w:val="center"/>
          </w:tcPr>
          <w:p w14:paraId="1F3CBA07"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Participant experiences and beliefs related to MOUD (suboxone, sublocade, methadone, etc), including side effects and views of MOUD</w:t>
            </w:r>
          </w:p>
        </w:tc>
      </w:tr>
      <w:tr w:rsidR="009F3EBF" w14:paraId="5835BE40" w14:textId="77777777" w:rsidTr="59B9C689">
        <w:trPr>
          <w:trHeight w:val="300"/>
        </w:trPr>
        <w:tc>
          <w:tcPr>
            <w:tcW w:w="3240" w:type="dxa"/>
            <w:vAlign w:val="center"/>
          </w:tcPr>
          <w:p w14:paraId="1B97DAF9"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OUD narratives</w:t>
            </w:r>
          </w:p>
        </w:tc>
        <w:tc>
          <w:tcPr>
            <w:tcW w:w="6125" w:type="dxa"/>
            <w:vAlign w:val="center"/>
          </w:tcPr>
          <w:p w14:paraId="2BB84B84" w14:textId="783BF56B" w:rsidR="009F3EBF" w:rsidRDefault="009F3EBF" w:rsidP="00225072">
            <w:pPr>
              <w:rPr>
                <w:rFonts w:ascii="Arial" w:eastAsia="Arial" w:hAnsi="Arial" w:cs="Arial"/>
                <w:color w:val="000000" w:themeColor="text1"/>
                <w:sz w:val="20"/>
                <w:szCs w:val="20"/>
              </w:rPr>
            </w:pPr>
            <w:r w:rsidRPr="00DB1140">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Stories about participants’ opioid use, including use origin, lapse/relapse</w:t>
            </w:r>
            <w:r w:rsidR="00E701D7">
              <w:rPr>
                <w:rFonts w:ascii="Arial" w:eastAsia="Arial" w:hAnsi="Arial" w:cs="Arial"/>
                <w:color w:val="000000" w:themeColor="text1"/>
                <w:sz w:val="20"/>
                <w:szCs w:val="20"/>
              </w:rPr>
              <w:t xml:space="preserve"> *Include other drug narratives as well.</w:t>
            </w:r>
          </w:p>
        </w:tc>
      </w:tr>
      <w:tr w:rsidR="009F3EBF" w14:paraId="01BDCA18" w14:textId="77777777" w:rsidTr="59B9C689">
        <w:trPr>
          <w:trHeight w:val="300"/>
        </w:trPr>
        <w:tc>
          <w:tcPr>
            <w:tcW w:w="3240" w:type="dxa"/>
            <w:vAlign w:val="center"/>
          </w:tcPr>
          <w:p w14:paraId="20D0790A"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Homelessness experiences</w:t>
            </w:r>
          </w:p>
        </w:tc>
        <w:tc>
          <w:tcPr>
            <w:tcW w:w="6125" w:type="dxa"/>
            <w:vAlign w:val="center"/>
          </w:tcPr>
          <w:p w14:paraId="78C03BA9"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w:t>
            </w:r>
            <w:r w:rsidRPr="00DB1140">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Participants’ experience with homelessness; including how it intersects with drug use and recovery</w:t>
            </w:r>
          </w:p>
        </w:tc>
      </w:tr>
      <w:tr w:rsidR="009F3EBF" w14:paraId="671A65C2" w14:textId="77777777" w:rsidTr="59B9C689">
        <w:trPr>
          <w:trHeight w:val="300"/>
        </w:trPr>
        <w:tc>
          <w:tcPr>
            <w:tcW w:w="3240" w:type="dxa"/>
            <w:vAlign w:val="center"/>
          </w:tcPr>
          <w:p w14:paraId="68FEAC65" w14:textId="06328C45" w:rsidR="009F3EBF" w:rsidRDefault="009F3EBF" w:rsidP="00225072">
            <w:pPr>
              <w:rPr>
                <w:rFonts w:ascii="Arial" w:eastAsia="Arial" w:hAnsi="Arial" w:cs="Arial"/>
                <w:color w:val="000000" w:themeColor="text1"/>
                <w:sz w:val="20"/>
                <w:szCs w:val="20"/>
              </w:rPr>
            </w:pPr>
            <w:r w:rsidRPr="59B9C689">
              <w:rPr>
                <w:rFonts w:ascii="Arial" w:eastAsia="Arial" w:hAnsi="Arial" w:cs="Arial"/>
                <w:color w:val="000000" w:themeColor="text1"/>
                <w:sz w:val="20"/>
                <w:szCs w:val="20"/>
              </w:rPr>
              <w:t>Barriers to recovery</w:t>
            </w:r>
          </w:p>
        </w:tc>
        <w:tc>
          <w:tcPr>
            <w:tcW w:w="6125" w:type="dxa"/>
            <w:vAlign w:val="center"/>
          </w:tcPr>
          <w:p w14:paraId="0D2888F2"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Structural and situational factors that interfere with recovery (i.e., drug use around the clinic, transportation barriers, medication theft, etc.)</w:t>
            </w:r>
          </w:p>
        </w:tc>
      </w:tr>
      <w:tr w:rsidR="009F3EBF" w14:paraId="5BF9D9F0" w14:textId="77777777" w:rsidTr="59B9C689">
        <w:trPr>
          <w:trHeight w:val="300"/>
        </w:trPr>
        <w:tc>
          <w:tcPr>
            <w:tcW w:w="3240" w:type="dxa"/>
            <w:vAlign w:val="center"/>
          </w:tcPr>
          <w:p w14:paraId="7ABEA601"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Recovery motivators</w:t>
            </w:r>
          </w:p>
        </w:tc>
        <w:tc>
          <w:tcPr>
            <w:tcW w:w="6125" w:type="dxa"/>
            <w:vAlign w:val="center"/>
          </w:tcPr>
          <w:p w14:paraId="7EF36F18" w14:textId="77777777" w:rsidR="009F3EBF" w:rsidRDefault="009F3EBF" w:rsidP="00225072">
            <w:pPr>
              <w:rPr>
                <w:rFonts w:ascii="Arial" w:eastAsia="Arial" w:hAnsi="Arial" w:cs="Arial"/>
                <w:color w:val="000000" w:themeColor="text1"/>
                <w:sz w:val="20"/>
                <w:szCs w:val="20"/>
              </w:rPr>
            </w:pPr>
            <w:r w:rsidRPr="47C7570E">
              <w:rPr>
                <w:rFonts w:ascii="Arial" w:eastAsia="Arial" w:hAnsi="Arial" w:cs="Arial"/>
                <w:color w:val="000000" w:themeColor="text1"/>
                <w:sz w:val="20"/>
                <w:szCs w:val="20"/>
              </w:rPr>
              <w:t>- Factors that motivate individuals to pursue recovery, such as witnessing overdoses, personal overdose, family dynamics, and intrinsic motivation</w:t>
            </w:r>
          </w:p>
        </w:tc>
      </w:tr>
      <w:tr w:rsidR="009F3EBF" w14:paraId="3C9E7070" w14:textId="77777777" w:rsidTr="59B9C689">
        <w:trPr>
          <w:trHeight w:val="300"/>
        </w:trPr>
        <w:tc>
          <w:tcPr>
            <w:tcW w:w="3240" w:type="dxa"/>
            <w:vAlign w:val="center"/>
          </w:tcPr>
          <w:p w14:paraId="1B2AAD86"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Stigma and marginalization</w:t>
            </w:r>
          </w:p>
        </w:tc>
        <w:tc>
          <w:tcPr>
            <w:tcW w:w="6125" w:type="dxa"/>
            <w:vAlign w:val="center"/>
          </w:tcPr>
          <w:p w14:paraId="4F4F9F4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Experiences of being judged or devalued</w:t>
            </w:r>
            <w:r w:rsidRPr="00D82515">
              <w:rPr>
                <w:rFonts w:ascii="Arial" w:eastAsia="Arial" w:hAnsi="Arial" w:cs="Arial"/>
                <w:color w:val="000000" w:themeColor="text1"/>
                <w:sz w:val="20"/>
                <w:szCs w:val="20"/>
              </w:rPr>
              <w:t xml:space="preserve"> due to homelessness or addiction; includes beliefs about lacking rights</w:t>
            </w:r>
            <w:r>
              <w:rPr>
                <w:rFonts w:ascii="Arial" w:eastAsia="Arial" w:hAnsi="Arial" w:cs="Arial"/>
                <w:color w:val="000000" w:themeColor="text1"/>
                <w:sz w:val="20"/>
                <w:szCs w:val="20"/>
              </w:rPr>
              <w:t xml:space="preserve"> and being mistrusted</w:t>
            </w:r>
          </w:p>
        </w:tc>
      </w:tr>
      <w:tr w:rsidR="009F3EBF" w14:paraId="3D78F021" w14:textId="77777777" w:rsidTr="59B9C689">
        <w:trPr>
          <w:trHeight w:val="300"/>
        </w:trPr>
        <w:tc>
          <w:tcPr>
            <w:tcW w:w="3240" w:type="dxa"/>
            <w:vAlign w:val="center"/>
          </w:tcPr>
          <w:p w14:paraId="254C4604" w14:textId="77777777" w:rsidR="009F3EBF" w:rsidRDefault="009F3EBF" w:rsidP="00225072">
            <w:pPr>
              <w:rPr>
                <w:rFonts w:ascii="Arial" w:eastAsia="Arial" w:hAnsi="Arial" w:cs="Arial"/>
                <w:color w:val="000000" w:themeColor="text1"/>
                <w:sz w:val="20"/>
                <w:szCs w:val="20"/>
              </w:rPr>
            </w:pPr>
            <w:r w:rsidRPr="47C7570E">
              <w:rPr>
                <w:rFonts w:ascii="Arial" w:eastAsia="Arial" w:hAnsi="Arial" w:cs="Arial"/>
                <w:color w:val="000000" w:themeColor="text1"/>
                <w:sz w:val="20"/>
                <w:szCs w:val="20"/>
              </w:rPr>
              <w:lastRenderedPageBreak/>
              <w:t>Family strain</w:t>
            </w:r>
          </w:p>
        </w:tc>
        <w:tc>
          <w:tcPr>
            <w:tcW w:w="6125" w:type="dxa"/>
            <w:vAlign w:val="center"/>
          </w:tcPr>
          <w:p w14:paraId="7A26CC4F" w14:textId="77777777" w:rsidR="009F3EBF" w:rsidRPr="005216EA"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Discussions of</w:t>
            </w:r>
            <w:r w:rsidRPr="00A04949">
              <w:rPr>
                <w:rFonts w:ascii="Arial" w:eastAsia="Arial" w:hAnsi="Arial" w:cs="Arial"/>
                <w:color w:val="000000" w:themeColor="text1"/>
                <w:sz w:val="20"/>
                <w:szCs w:val="20"/>
              </w:rPr>
              <w:t xml:space="preserve"> family relationships—both as sources of strain and as support. May influence engagement, relapse, or motivation.</w:t>
            </w:r>
          </w:p>
        </w:tc>
      </w:tr>
      <w:tr w:rsidR="009F3EBF" w14:paraId="7238AE63" w14:textId="77777777" w:rsidTr="59B9C689">
        <w:trPr>
          <w:trHeight w:val="300"/>
        </w:trPr>
        <w:tc>
          <w:tcPr>
            <w:tcW w:w="3240" w:type="dxa"/>
            <w:vAlign w:val="center"/>
          </w:tcPr>
          <w:p w14:paraId="63A0FE86"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Contemporary drug supply</w:t>
            </w:r>
          </w:p>
        </w:tc>
        <w:tc>
          <w:tcPr>
            <w:tcW w:w="6125" w:type="dxa"/>
            <w:vAlign w:val="center"/>
          </w:tcPr>
          <w:p w14:paraId="3251410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w:t>
            </w:r>
            <w:r w:rsidRPr="00055158">
              <w:rPr>
                <w:rFonts w:ascii="Arial" w:eastAsia="Arial" w:hAnsi="Arial" w:cs="Arial"/>
                <w:color w:val="000000" w:themeColor="text1"/>
                <w:sz w:val="20"/>
                <w:szCs w:val="20"/>
              </w:rPr>
              <w:t>Perceptions of today’s drug supply (e.g., potency, risk), how it affects relapse, overdose</w:t>
            </w:r>
            <w:r>
              <w:rPr>
                <w:rFonts w:ascii="Arial" w:eastAsia="Arial" w:hAnsi="Arial" w:cs="Arial"/>
                <w:color w:val="000000" w:themeColor="text1"/>
                <w:sz w:val="20"/>
                <w:szCs w:val="20"/>
              </w:rPr>
              <w:t>, and recovery.</w:t>
            </w:r>
          </w:p>
        </w:tc>
      </w:tr>
      <w:tr w:rsidR="009F3EBF" w14:paraId="7ECE30E6" w14:textId="77777777" w:rsidTr="59B9C689">
        <w:trPr>
          <w:trHeight w:val="300"/>
        </w:trPr>
        <w:tc>
          <w:tcPr>
            <w:tcW w:w="3240" w:type="dxa"/>
            <w:vAlign w:val="center"/>
          </w:tcPr>
          <w:p w14:paraId="03870E0B"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Personal interest in PRSS role</w:t>
            </w:r>
          </w:p>
        </w:tc>
        <w:tc>
          <w:tcPr>
            <w:tcW w:w="6125" w:type="dxa"/>
            <w:vAlign w:val="center"/>
          </w:tcPr>
          <w:p w14:paraId="6F327C0F"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Participants’</w:t>
            </w:r>
            <w:r w:rsidRPr="001845B9">
              <w:rPr>
                <w:rFonts w:ascii="Arial" w:eastAsia="Arial" w:hAnsi="Arial" w:cs="Arial"/>
                <w:color w:val="000000" w:themeColor="text1"/>
                <w:sz w:val="20"/>
                <w:szCs w:val="20"/>
              </w:rPr>
              <w:t xml:space="preserve"> personal experience serving as a PRSS</w:t>
            </w:r>
            <w:r>
              <w:rPr>
                <w:rFonts w:ascii="Arial" w:eastAsia="Arial" w:hAnsi="Arial" w:cs="Arial"/>
                <w:color w:val="000000" w:themeColor="text1"/>
                <w:sz w:val="20"/>
                <w:szCs w:val="20"/>
              </w:rPr>
              <w:t xml:space="preserve"> or</w:t>
            </w:r>
            <w:r w:rsidRPr="001845B9">
              <w:rPr>
                <w:rFonts w:ascii="Arial" w:eastAsia="Arial" w:hAnsi="Arial" w:cs="Arial"/>
                <w:color w:val="000000" w:themeColor="text1"/>
                <w:sz w:val="20"/>
                <w:szCs w:val="20"/>
              </w:rPr>
              <w:t xml:space="preserve"> interest in becoming one (e.g., for meaning, income, or giving back)</w:t>
            </w:r>
          </w:p>
        </w:tc>
      </w:tr>
      <w:tr w:rsidR="009F3EBF" w:rsidRPr="005938A6" w14:paraId="6D180920" w14:textId="77777777" w:rsidTr="59B9C689">
        <w:trPr>
          <w:trHeight w:val="300"/>
        </w:trPr>
        <w:tc>
          <w:tcPr>
            <w:tcW w:w="3240" w:type="dxa"/>
            <w:vAlign w:val="center"/>
          </w:tcPr>
          <w:p w14:paraId="4736E5A9"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Motivation to participate in study</w:t>
            </w:r>
          </w:p>
        </w:tc>
        <w:tc>
          <w:tcPr>
            <w:tcW w:w="6125" w:type="dxa"/>
            <w:vAlign w:val="center"/>
          </w:tcPr>
          <w:p w14:paraId="201552D9" w14:textId="77777777" w:rsidR="009F3EBF" w:rsidRPr="005938A6"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Reasons participants joined the focus group or would consider future studies </w:t>
            </w:r>
          </w:p>
        </w:tc>
      </w:tr>
      <w:tr w:rsidR="009F3EBF" w14:paraId="2E5B5407" w14:textId="77777777" w:rsidTr="59B9C689">
        <w:trPr>
          <w:trHeight w:val="300"/>
        </w:trPr>
        <w:tc>
          <w:tcPr>
            <w:tcW w:w="9365" w:type="dxa"/>
            <w:gridSpan w:val="2"/>
            <w:shd w:val="clear" w:color="auto" w:fill="E8E8E8" w:themeFill="background2"/>
            <w:vAlign w:val="center"/>
          </w:tcPr>
          <w:p w14:paraId="4E22F69A" w14:textId="77777777" w:rsidR="009F3EBF" w:rsidRPr="00B636D9" w:rsidRDefault="009F3EBF" w:rsidP="00225072">
            <w:pPr>
              <w:rPr>
                <w:rFonts w:ascii="Arial" w:eastAsia="Arial" w:hAnsi="Arial" w:cs="Arial"/>
                <w:b/>
                <w:bCs/>
                <w:color w:val="000000" w:themeColor="text1"/>
                <w:sz w:val="20"/>
                <w:szCs w:val="20"/>
              </w:rPr>
            </w:pPr>
            <w:r w:rsidRPr="00B636D9">
              <w:rPr>
                <w:rFonts w:ascii="Arial" w:eastAsia="Arial" w:hAnsi="Arial" w:cs="Arial"/>
                <w:b/>
                <w:bCs/>
                <w:color w:val="000000" w:themeColor="text1"/>
                <w:sz w:val="20"/>
                <w:szCs w:val="20"/>
              </w:rPr>
              <w:t>Other/Interesting</w:t>
            </w:r>
          </w:p>
        </w:tc>
      </w:tr>
      <w:tr w:rsidR="009F3EBF" w14:paraId="5EA034D4" w14:textId="77777777" w:rsidTr="59B9C689">
        <w:trPr>
          <w:trHeight w:val="300"/>
        </w:trPr>
        <w:tc>
          <w:tcPr>
            <w:tcW w:w="3240" w:type="dxa"/>
            <w:vAlign w:val="center"/>
          </w:tcPr>
          <w:p w14:paraId="00B36178"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Other </w:t>
            </w:r>
          </w:p>
        </w:tc>
        <w:tc>
          <w:tcPr>
            <w:tcW w:w="6125" w:type="dxa"/>
            <w:vAlign w:val="center"/>
          </w:tcPr>
          <w:p w14:paraId="7CAEF2A9"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w:t>
            </w:r>
            <w:r w:rsidRPr="00F344BA">
              <w:rPr>
                <w:rFonts w:ascii="Arial" w:eastAsia="Arial" w:hAnsi="Arial" w:cs="Arial"/>
                <w:color w:val="000000" w:themeColor="text1"/>
                <w:sz w:val="20"/>
                <w:szCs w:val="20"/>
              </w:rPr>
              <w:t>Content that doesn’t fit other codes but is still relevant.</w:t>
            </w:r>
          </w:p>
        </w:tc>
      </w:tr>
      <w:tr w:rsidR="009F3EBF" w14:paraId="25040307" w14:textId="77777777" w:rsidTr="59B9C689">
        <w:trPr>
          <w:trHeight w:val="300"/>
        </w:trPr>
        <w:tc>
          <w:tcPr>
            <w:tcW w:w="3240" w:type="dxa"/>
            <w:vAlign w:val="center"/>
          </w:tcPr>
          <w:p w14:paraId="4317A2ED"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Interesting</w:t>
            </w:r>
          </w:p>
        </w:tc>
        <w:tc>
          <w:tcPr>
            <w:tcW w:w="6125" w:type="dxa"/>
            <w:vAlign w:val="center"/>
          </w:tcPr>
          <w:p w14:paraId="7CD225E0" w14:textId="77777777" w:rsidR="009F3EBF" w:rsidRDefault="009F3EBF" w:rsidP="00225072">
            <w:p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 </w:t>
            </w:r>
            <w:r w:rsidRPr="00F344BA">
              <w:rPr>
                <w:rFonts w:ascii="Arial" w:eastAsia="Arial" w:hAnsi="Arial" w:cs="Arial"/>
                <w:color w:val="000000" w:themeColor="text1"/>
                <w:sz w:val="20"/>
                <w:szCs w:val="20"/>
              </w:rPr>
              <w:t>Quotes that are particularly striking, insightful, or illustrative of broader themes.</w:t>
            </w:r>
          </w:p>
        </w:tc>
      </w:tr>
    </w:tbl>
    <w:p w14:paraId="32EECDCA" w14:textId="267E1D4F" w:rsidR="122D13BB" w:rsidRDefault="122D13BB" w:rsidP="122D13BB">
      <w:pPr>
        <w:spacing w:after="0" w:line="278" w:lineRule="auto"/>
        <w:rPr>
          <w:rFonts w:ascii="Arial" w:eastAsia="Arial" w:hAnsi="Arial" w:cs="Arial"/>
          <w:color w:val="000000" w:themeColor="text1"/>
          <w:sz w:val="20"/>
          <w:szCs w:val="20"/>
          <w:highlight w:val="yellow"/>
        </w:rPr>
      </w:pPr>
    </w:p>
    <w:sectPr w:rsidR="122D1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ot;Aptos&quot;,sans-serif">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493EC"/>
    <w:multiLevelType w:val="hybridMultilevel"/>
    <w:tmpl w:val="B4F489D6"/>
    <w:lvl w:ilvl="0" w:tplc="48C88C6A">
      <w:start w:val="1"/>
      <w:numFmt w:val="bullet"/>
      <w:lvlText w:val="-"/>
      <w:lvlJc w:val="left"/>
      <w:pPr>
        <w:ind w:left="720" w:hanging="360"/>
      </w:pPr>
      <w:rPr>
        <w:rFonts w:ascii="&quot;Aptos&quot;,sans-serif" w:hAnsi="&quot;Aptos&quot;,sans-serif" w:hint="default"/>
      </w:rPr>
    </w:lvl>
    <w:lvl w:ilvl="1" w:tplc="63704144">
      <w:start w:val="1"/>
      <w:numFmt w:val="bullet"/>
      <w:lvlText w:val="o"/>
      <w:lvlJc w:val="left"/>
      <w:pPr>
        <w:ind w:left="1440" w:hanging="360"/>
      </w:pPr>
      <w:rPr>
        <w:rFonts w:ascii="&quot;Aptos&quot;,sans-serif" w:hAnsi="&quot;Aptos&quot;,sans-serif" w:hint="default"/>
      </w:rPr>
    </w:lvl>
    <w:lvl w:ilvl="2" w:tplc="2F9006AA">
      <w:start w:val="1"/>
      <w:numFmt w:val="bullet"/>
      <w:lvlText w:val="§"/>
      <w:lvlJc w:val="left"/>
      <w:pPr>
        <w:ind w:left="2160" w:hanging="360"/>
      </w:pPr>
      <w:rPr>
        <w:rFonts w:ascii="&quot;Aptos&quot;,sans-serif" w:hAnsi="&quot;Aptos&quot;,sans-serif" w:hint="default"/>
      </w:rPr>
    </w:lvl>
    <w:lvl w:ilvl="3" w:tplc="182CAFF4">
      <w:start w:val="1"/>
      <w:numFmt w:val="bullet"/>
      <w:lvlText w:val=""/>
      <w:lvlJc w:val="left"/>
      <w:pPr>
        <w:ind w:left="2880" w:hanging="360"/>
      </w:pPr>
      <w:rPr>
        <w:rFonts w:ascii="Symbol" w:hAnsi="Symbol" w:hint="default"/>
      </w:rPr>
    </w:lvl>
    <w:lvl w:ilvl="4" w:tplc="A3EAF7BA">
      <w:start w:val="1"/>
      <w:numFmt w:val="bullet"/>
      <w:lvlText w:val="o"/>
      <w:lvlJc w:val="left"/>
      <w:pPr>
        <w:ind w:left="3600" w:hanging="360"/>
      </w:pPr>
      <w:rPr>
        <w:rFonts w:ascii="Courier New" w:hAnsi="Courier New" w:hint="default"/>
      </w:rPr>
    </w:lvl>
    <w:lvl w:ilvl="5" w:tplc="29146B4C">
      <w:start w:val="1"/>
      <w:numFmt w:val="bullet"/>
      <w:lvlText w:val=""/>
      <w:lvlJc w:val="left"/>
      <w:pPr>
        <w:ind w:left="4320" w:hanging="360"/>
      </w:pPr>
      <w:rPr>
        <w:rFonts w:ascii="Wingdings" w:hAnsi="Wingdings" w:hint="default"/>
      </w:rPr>
    </w:lvl>
    <w:lvl w:ilvl="6" w:tplc="C9A0B82E">
      <w:start w:val="1"/>
      <w:numFmt w:val="bullet"/>
      <w:lvlText w:val=""/>
      <w:lvlJc w:val="left"/>
      <w:pPr>
        <w:ind w:left="5040" w:hanging="360"/>
      </w:pPr>
      <w:rPr>
        <w:rFonts w:ascii="Symbol" w:hAnsi="Symbol" w:hint="default"/>
      </w:rPr>
    </w:lvl>
    <w:lvl w:ilvl="7" w:tplc="720A6244">
      <w:start w:val="1"/>
      <w:numFmt w:val="bullet"/>
      <w:lvlText w:val="o"/>
      <w:lvlJc w:val="left"/>
      <w:pPr>
        <w:ind w:left="5760" w:hanging="360"/>
      </w:pPr>
      <w:rPr>
        <w:rFonts w:ascii="Courier New" w:hAnsi="Courier New" w:hint="default"/>
      </w:rPr>
    </w:lvl>
    <w:lvl w:ilvl="8" w:tplc="5998A20C">
      <w:start w:val="1"/>
      <w:numFmt w:val="bullet"/>
      <w:lvlText w:val=""/>
      <w:lvlJc w:val="left"/>
      <w:pPr>
        <w:ind w:left="6480" w:hanging="360"/>
      </w:pPr>
      <w:rPr>
        <w:rFonts w:ascii="Wingdings" w:hAnsi="Wingdings" w:hint="default"/>
      </w:rPr>
    </w:lvl>
  </w:abstractNum>
  <w:num w:numId="1" w16cid:durableId="183356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DEE7D8"/>
    <w:rsid w:val="0000154D"/>
    <w:rsid w:val="00004981"/>
    <w:rsid w:val="00004EF2"/>
    <w:rsid w:val="00005BAA"/>
    <w:rsid w:val="00031786"/>
    <w:rsid w:val="00032FB0"/>
    <w:rsid w:val="00043162"/>
    <w:rsid w:val="00047FC4"/>
    <w:rsid w:val="00050BAD"/>
    <w:rsid w:val="00055158"/>
    <w:rsid w:val="00057BA8"/>
    <w:rsid w:val="000679FF"/>
    <w:rsid w:val="00067BF7"/>
    <w:rsid w:val="00071FBA"/>
    <w:rsid w:val="00072E45"/>
    <w:rsid w:val="00075559"/>
    <w:rsid w:val="00084B82"/>
    <w:rsid w:val="00084C3B"/>
    <w:rsid w:val="00094F88"/>
    <w:rsid w:val="000A20B5"/>
    <w:rsid w:val="000A4172"/>
    <w:rsid w:val="000B065F"/>
    <w:rsid w:val="000B07D9"/>
    <w:rsid w:val="000B0A69"/>
    <w:rsid w:val="000B1EB5"/>
    <w:rsid w:val="000B5386"/>
    <w:rsid w:val="000C777A"/>
    <w:rsid w:val="000D5B25"/>
    <w:rsid w:val="000E0240"/>
    <w:rsid w:val="000E1C1C"/>
    <w:rsid w:val="000E48D8"/>
    <w:rsid w:val="000E5AD1"/>
    <w:rsid w:val="000E5BFD"/>
    <w:rsid w:val="000F2589"/>
    <w:rsid w:val="000F564B"/>
    <w:rsid w:val="000F583A"/>
    <w:rsid w:val="0010299F"/>
    <w:rsid w:val="001064D6"/>
    <w:rsid w:val="001065DB"/>
    <w:rsid w:val="00126231"/>
    <w:rsid w:val="0012645B"/>
    <w:rsid w:val="00143149"/>
    <w:rsid w:val="00156BF1"/>
    <w:rsid w:val="001647A4"/>
    <w:rsid w:val="00165943"/>
    <w:rsid w:val="001819A0"/>
    <w:rsid w:val="001845B9"/>
    <w:rsid w:val="00185CA5"/>
    <w:rsid w:val="00192409"/>
    <w:rsid w:val="001B332C"/>
    <w:rsid w:val="001B3C8C"/>
    <w:rsid w:val="001B46AF"/>
    <w:rsid w:val="001C2E24"/>
    <w:rsid w:val="001C7B8D"/>
    <w:rsid w:val="001D3A36"/>
    <w:rsid w:val="001D3D43"/>
    <w:rsid w:val="001E3E05"/>
    <w:rsid w:val="00200ED2"/>
    <w:rsid w:val="00216844"/>
    <w:rsid w:val="00216EAD"/>
    <w:rsid w:val="00222A3C"/>
    <w:rsid w:val="00222F1E"/>
    <w:rsid w:val="0022386D"/>
    <w:rsid w:val="00225072"/>
    <w:rsid w:val="00232FDA"/>
    <w:rsid w:val="002335A8"/>
    <w:rsid w:val="00236F37"/>
    <w:rsid w:val="00237021"/>
    <w:rsid w:val="00250B82"/>
    <w:rsid w:val="00251A83"/>
    <w:rsid w:val="00252876"/>
    <w:rsid w:val="00252ACC"/>
    <w:rsid w:val="00257965"/>
    <w:rsid w:val="00262466"/>
    <w:rsid w:val="00270F3C"/>
    <w:rsid w:val="00272840"/>
    <w:rsid w:val="00285ABB"/>
    <w:rsid w:val="00286F62"/>
    <w:rsid w:val="00294495"/>
    <w:rsid w:val="00294DD9"/>
    <w:rsid w:val="002A0436"/>
    <w:rsid w:val="002B03C0"/>
    <w:rsid w:val="002C1433"/>
    <w:rsid w:val="002C1D70"/>
    <w:rsid w:val="002D6AE1"/>
    <w:rsid w:val="002E3BDE"/>
    <w:rsid w:val="00303F24"/>
    <w:rsid w:val="003113BC"/>
    <w:rsid w:val="00320707"/>
    <w:rsid w:val="003269E3"/>
    <w:rsid w:val="00334D27"/>
    <w:rsid w:val="003417B8"/>
    <w:rsid w:val="0034564C"/>
    <w:rsid w:val="00362DEE"/>
    <w:rsid w:val="0037106A"/>
    <w:rsid w:val="003718BC"/>
    <w:rsid w:val="00380D9C"/>
    <w:rsid w:val="00383B6F"/>
    <w:rsid w:val="00385513"/>
    <w:rsid w:val="003953B5"/>
    <w:rsid w:val="003A733C"/>
    <w:rsid w:val="003B0E07"/>
    <w:rsid w:val="003B10F3"/>
    <w:rsid w:val="003B64D4"/>
    <w:rsid w:val="003C31EF"/>
    <w:rsid w:val="003C7A35"/>
    <w:rsid w:val="003D0F72"/>
    <w:rsid w:val="003D3327"/>
    <w:rsid w:val="003D3B8A"/>
    <w:rsid w:val="003D4155"/>
    <w:rsid w:val="003D5B10"/>
    <w:rsid w:val="003D6D7F"/>
    <w:rsid w:val="003E3E37"/>
    <w:rsid w:val="003E51EA"/>
    <w:rsid w:val="003F6480"/>
    <w:rsid w:val="004012DA"/>
    <w:rsid w:val="00405707"/>
    <w:rsid w:val="00407A2B"/>
    <w:rsid w:val="00411384"/>
    <w:rsid w:val="00411527"/>
    <w:rsid w:val="0042241F"/>
    <w:rsid w:val="0042602B"/>
    <w:rsid w:val="0043385B"/>
    <w:rsid w:val="0044394B"/>
    <w:rsid w:val="004459AC"/>
    <w:rsid w:val="00453898"/>
    <w:rsid w:val="00461D54"/>
    <w:rsid w:val="004635F2"/>
    <w:rsid w:val="00486ABC"/>
    <w:rsid w:val="00491329"/>
    <w:rsid w:val="004965A7"/>
    <w:rsid w:val="004A0007"/>
    <w:rsid w:val="004A3258"/>
    <w:rsid w:val="004A6C09"/>
    <w:rsid w:val="004A71DA"/>
    <w:rsid w:val="004B0B61"/>
    <w:rsid w:val="004C0DC9"/>
    <w:rsid w:val="004C2C7C"/>
    <w:rsid w:val="004C4C3D"/>
    <w:rsid w:val="004D38BE"/>
    <w:rsid w:val="004E4312"/>
    <w:rsid w:val="004F3FF9"/>
    <w:rsid w:val="004F4433"/>
    <w:rsid w:val="004F5570"/>
    <w:rsid w:val="005035CE"/>
    <w:rsid w:val="00512A8F"/>
    <w:rsid w:val="00516C31"/>
    <w:rsid w:val="005216EA"/>
    <w:rsid w:val="00527503"/>
    <w:rsid w:val="005361E5"/>
    <w:rsid w:val="00543A51"/>
    <w:rsid w:val="005565D0"/>
    <w:rsid w:val="00556C23"/>
    <w:rsid w:val="00561294"/>
    <w:rsid w:val="00561944"/>
    <w:rsid w:val="00564EA3"/>
    <w:rsid w:val="00587128"/>
    <w:rsid w:val="005938A6"/>
    <w:rsid w:val="005A1EA2"/>
    <w:rsid w:val="005A6096"/>
    <w:rsid w:val="005B1664"/>
    <w:rsid w:val="005B17B4"/>
    <w:rsid w:val="005B2731"/>
    <w:rsid w:val="005B7253"/>
    <w:rsid w:val="005C3B00"/>
    <w:rsid w:val="005C573F"/>
    <w:rsid w:val="005E1EC4"/>
    <w:rsid w:val="005E3372"/>
    <w:rsid w:val="005E5118"/>
    <w:rsid w:val="005F16A7"/>
    <w:rsid w:val="005F273E"/>
    <w:rsid w:val="005F5E6E"/>
    <w:rsid w:val="00602A08"/>
    <w:rsid w:val="00616CBA"/>
    <w:rsid w:val="006553D7"/>
    <w:rsid w:val="00655A00"/>
    <w:rsid w:val="00656D14"/>
    <w:rsid w:val="00662E34"/>
    <w:rsid w:val="00666A3A"/>
    <w:rsid w:val="0067073B"/>
    <w:rsid w:val="00670F4C"/>
    <w:rsid w:val="00682D0D"/>
    <w:rsid w:val="0068304E"/>
    <w:rsid w:val="00685C92"/>
    <w:rsid w:val="006977D6"/>
    <w:rsid w:val="006A5C4B"/>
    <w:rsid w:val="006B09D3"/>
    <w:rsid w:val="006B0BAB"/>
    <w:rsid w:val="006B1310"/>
    <w:rsid w:val="006B4A0E"/>
    <w:rsid w:val="006C1A84"/>
    <w:rsid w:val="006C2827"/>
    <w:rsid w:val="006C38D0"/>
    <w:rsid w:val="006C5B6C"/>
    <w:rsid w:val="006D4005"/>
    <w:rsid w:val="006D5D86"/>
    <w:rsid w:val="006D6AAF"/>
    <w:rsid w:val="006D6ABC"/>
    <w:rsid w:val="006E098C"/>
    <w:rsid w:val="006F3924"/>
    <w:rsid w:val="007073ED"/>
    <w:rsid w:val="00716971"/>
    <w:rsid w:val="00722C47"/>
    <w:rsid w:val="00722DCE"/>
    <w:rsid w:val="00725C19"/>
    <w:rsid w:val="00732F14"/>
    <w:rsid w:val="007337EF"/>
    <w:rsid w:val="00744425"/>
    <w:rsid w:val="00744D55"/>
    <w:rsid w:val="007532AF"/>
    <w:rsid w:val="00754C7E"/>
    <w:rsid w:val="00756E4E"/>
    <w:rsid w:val="00775933"/>
    <w:rsid w:val="00782154"/>
    <w:rsid w:val="0079080C"/>
    <w:rsid w:val="007923B3"/>
    <w:rsid w:val="007953F3"/>
    <w:rsid w:val="00795712"/>
    <w:rsid w:val="007A0FCE"/>
    <w:rsid w:val="007B3C15"/>
    <w:rsid w:val="007C7356"/>
    <w:rsid w:val="007D16CD"/>
    <w:rsid w:val="007D325F"/>
    <w:rsid w:val="007F74B4"/>
    <w:rsid w:val="00804854"/>
    <w:rsid w:val="0080567F"/>
    <w:rsid w:val="00806BAB"/>
    <w:rsid w:val="00806FD5"/>
    <w:rsid w:val="0081029F"/>
    <w:rsid w:val="00823FBF"/>
    <w:rsid w:val="00825E84"/>
    <w:rsid w:val="00826009"/>
    <w:rsid w:val="00833F00"/>
    <w:rsid w:val="00835BA6"/>
    <w:rsid w:val="00843996"/>
    <w:rsid w:val="00851157"/>
    <w:rsid w:val="008606F5"/>
    <w:rsid w:val="008613EA"/>
    <w:rsid w:val="008645D3"/>
    <w:rsid w:val="00880BDB"/>
    <w:rsid w:val="008A00D5"/>
    <w:rsid w:val="008A0913"/>
    <w:rsid w:val="008A0994"/>
    <w:rsid w:val="008A2F2F"/>
    <w:rsid w:val="008B22A2"/>
    <w:rsid w:val="008C7745"/>
    <w:rsid w:val="008F2321"/>
    <w:rsid w:val="00905B0A"/>
    <w:rsid w:val="00906072"/>
    <w:rsid w:val="009174CE"/>
    <w:rsid w:val="00921813"/>
    <w:rsid w:val="009276C3"/>
    <w:rsid w:val="00936A3B"/>
    <w:rsid w:val="00946F0C"/>
    <w:rsid w:val="0095409A"/>
    <w:rsid w:val="009554B8"/>
    <w:rsid w:val="00964AC5"/>
    <w:rsid w:val="00973B8D"/>
    <w:rsid w:val="00987ED0"/>
    <w:rsid w:val="00995C2E"/>
    <w:rsid w:val="009A0484"/>
    <w:rsid w:val="009A3E17"/>
    <w:rsid w:val="009B0AF0"/>
    <w:rsid w:val="009B11FE"/>
    <w:rsid w:val="009C1041"/>
    <w:rsid w:val="009D5ED5"/>
    <w:rsid w:val="009D6271"/>
    <w:rsid w:val="009E6167"/>
    <w:rsid w:val="009E6237"/>
    <w:rsid w:val="009F1931"/>
    <w:rsid w:val="009F1DC0"/>
    <w:rsid w:val="009F3EBF"/>
    <w:rsid w:val="009F4A10"/>
    <w:rsid w:val="00A00582"/>
    <w:rsid w:val="00A018E4"/>
    <w:rsid w:val="00A04949"/>
    <w:rsid w:val="00A0638D"/>
    <w:rsid w:val="00A20C41"/>
    <w:rsid w:val="00A23178"/>
    <w:rsid w:val="00A2420F"/>
    <w:rsid w:val="00A26523"/>
    <w:rsid w:val="00A34D80"/>
    <w:rsid w:val="00A525E6"/>
    <w:rsid w:val="00A53236"/>
    <w:rsid w:val="00A545E5"/>
    <w:rsid w:val="00A604C4"/>
    <w:rsid w:val="00A6344E"/>
    <w:rsid w:val="00A80D47"/>
    <w:rsid w:val="00A867CE"/>
    <w:rsid w:val="00A907F6"/>
    <w:rsid w:val="00A9112D"/>
    <w:rsid w:val="00AA621D"/>
    <w:rsid w:val="00AB2ACB"/>
    <w:rsid w:val="00AB3F88"/>
    <w:rsid w:val="00AC1328"/>
    <w:rsid w:val="00AD4F6B"/>
    <w:rsid w:val="00AE24BE"/>
    <w:rsid w:val="00AE5DB6"/>
    <w:rsid w:val="00AE667E"/>
    <w:rsid w:val="00AF0837"/>
    <w:rsid w:val="00B05306"/>
    <w:rsid w:val="00B05463"/>
    <w:rsid w:val="00B068A7"/>
    <w:rsid w:val="00B10922"/>
    <w:rsid w:val="00B1186F"/>
    <w:rsid w:val="00B2057B"/>
    <w:rsid w:val="00B21961"/>
    <w:rsid w:val="00B50B77"/>
    <w:rsid w:val="00B55D8B"/>
    <w:rsid w:val="00B5766A"/>
    <w:rsid w:val="00B636D9"/>
    <w:rsid w:val="00B72AA5"/>
    <w:rsid w:val="00B73781"/>
    <w:rsid w:val="00B81C05"/>
    <w:rsid w:val="00B8369E"/>
    <w:rsid w:val="00B87F2E"/>
    <w:rsid w:val="00B920D3"/>
    <w:rsid w:val="00B956A6"/>
    <w:rsid w:val="00B95DB7"/>
    <w:rsid w:val="00BA6D5A"/>
    <w:rsid w:val="00BB6D17"/>
    <w:rsid w:val="00BC2112"/>
    <w:rsid w:val="00BC4CAA"/>
    <w:rsid w:val="00BD2FDF"/>
    <w:rsid w:val="00BD7DC6"/>
    <w:rsid w:val="00BF4303"/>
    <w:rsid w:val="00C12FF3"/>
    <w:rsid w:val="00C34D3C"/>
    <w:rsid w:val="00C35690"/>
    <w:rsid w:val="00C365B9"/>
    <w:rsid w:val="00C557D2"/>
    <w:rsid w:val="00C65A9F"/>
    <w:rsid w:val="00C82450"/>
    <w:rsid w:val="00C85A9E"/>
    <w:rsid w:val="00C85EF1"/>
    <w:rsid w:val="00C93433"/>
    <w:rsid w:val="00CA4BA1"/>
    <w:rsid w:val="00CA559B"/>
    <w:rsid w:val="00CA5905"/>
    <w:rsid w:val="00CA71A7"/>
    <w:rsid w:val="00CB7555"/>
    <w:rsid w:val="00CC0E73"/>
    <w:rsid w:val="00CC3208"/>
    <w:rsid w:val="00CC59BB"/>
    <w:rsid w:val="00CE3E59"/>
    <w:rsid w:val="00CE4D6E"/>
    <w:rsid w:val="00D17870"/>
    <w:rsid w:val="00D35DD5"/>
    <w:rsid w:val="00D530B2"/>
    <w:rsid w:val="00D6314F"/>
    <w:rsid w:val="00D63BB0"/>
    <w:rsid w:val="00D66EC6"/>
    <w:rsid w:val="00D67AA8"/>
    <w:rsid w:val="00D82515"/>
    <w:rsid w:val="00D84360"/>
    <w:rsid w:val="00D91B89"/>
    <w:rsid w:val="00D97A1C"/>
    <w:rsid w:val="00DA3A44"/>
    <w:rsid w:val="00DB1B12"/>
    <w:rsid w:val="00DB2172"/>
    <w:rsid w:val="00DB2AEB"/>
    <w:rsid w:val="00DC2914"/>
    <w:rsid w:val="00DC6246"/>
    <w:rsid w:val="00DD28E5"/>
    <w:rsid w:val="00DD4A9B"/>
    <w:rsid w:val="00DE2AB1"/>
    <w:rsid w:val="00DE7252"/>
    <w:rsid w:val="00DF2205"/>
    <w:rsid w:val="00DF6C06"/>
    <w:rsid w:val="00E02148"/>
    <w:rsid w:val="00E067E2"/>
    <w:rsid w:val="00E16BA7"/>
    <w:rsid w:val="00E25D61"/>
    <w:rsid w:val="00E308C0"/>
    <w:rsid w:val="00E31B1E"/>
    <w:rsid w:val="00E33AA1"/>
    <w:rsid w:val="00E347F9"/>
    <w:rsid w:val="00E450F1"/>
    <w:rsid w:val="00E559D4"/>
    <w:rsid w:val="00E66072"/>
    <w:rsid w:val="00E701D7"/>
    <w:rsid w:val="00E705CC"/>
    <w:rsid w:val="00E726ED"/>
    <w:rsid w:val="00E77FBC"/>
    <w:rsid w:val="00E8075E"/>
    <w:rsid w:val="00E81204"/>
    <w:rsid w:val="00E84695"/>
    <w:rsid w:val="00E84BBC"/>
    <w:rsid w:val="00E96A6E"/>
    <w:rsid w:val="00EC6293"/>
    <w:rsid w:val="00ED3E58"/>
    <w:rsid w:val="00EE507A"/>
    <w:rsid w:val="00EF1AF1"/>
    <w:rsid w:val="00EF2F99"/>
    <w:rsid w:val="00EF7B24"/>
    <w:rsid w:val="00F03202"/>
    <w:rsid w:val="00F04009"/>
    <w:rsid w:val="00F11C1F"/>
    <w:rsid w:val="00F158A7"/>
    <w:rsid w:val="00F1741A"/>
    <w:rsid w:val="00F23BB4"/>
    <w:rsid w:val="00F24C96"/>
    <w:rsid w:val="00F26178"/>
    <w:rsid w:val="00F26C8C"/>
    <w:rsid w:val="00F30190"/>
    <w:rsid w:val="00F34A62"/>
    <w:rsid w:val="00F36E52"/>
    <w:rsid w:val="00F402EA"/>
    <w:rsid w:val="00F46657"/>
    <w:rsid w:val="00F50DBF"/>
    <w:rsid w:val="00F5276A"/>
    <w:rsid w:val="00F7265B"/>
    <w:rsid w:val="00F82A89"/>
    <w:rsid w:val="00F84130"/>
    <w:rsid w:val="00F85721"/>
    <w:rsid w:val="00F90071"/>
    <w:rsid w:val="00F94233"/>
    <w:rsid w:val="00FB3F42"/>
    <w:rsid w:val="00FB6EA2"/>
    <w:rsid w:val="00FC441A"/>
    <w:rsid w:val="00FD7232"/>
    <w:rsid w:val="00FD7326"/>
    <w:rsid w:val="00FF35BA"/>
    <w:rsid w:val="00FF414A"/>
    <w:rsid w:val="048A3E1C"/>
    <w:rsid w:val="09DEE7D8"/>
    <w:rsid w:val="122D13BB"/>
    <w:rsid w:val="12523B0B"/>
    <w:rsid w:val="147B669E"/>
    <w:rsid w:val="21428160"/>
    <w:rsid w:val="22E5F1D6"/>
    <w:rsid w:val="26C051EA"/>
    <w:rsid w:val="28B14613"/>
    <w:rsid w:val="28FF30E9"/>
    <w:rsid w:val="3C875C35"/>
    <w:rsid w:val="3E205D21"/>
    <w:rsid w:val="3F1E78CD"/>
    <w:rsid w:val="47C7570E"/>
    <w:rsid w:val="566BB136"/>
    <w:rsid w:val="59B9C689"/>
    <w:rsid w:val="5B6C9CD4"/>
    <w:rsid w:val="5FDA8D08"/>
    <w:rsid w:val="677717AC"/>
    <w:rsid w:val="691C5527"/>
    <w:rsid w:val="6B94641F"/>
    <w:rsid w:val="72BFC051"/>
    <w:rsid w:val="7319A38D"/>
    <w:rsid w:val="795664F9"/>
    <w:rsid w:val="7CE01404"/>
    <w:rsid w:val="7FDA2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E7D8"/>
  <w15:chartTrackingRefBased/>
  <w15:docId w15:val="{A0CDCBA0-6439-4C76-A2C9-05088683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251A83"/>
    <w:rPr>
      <w:sz w:val="16"/>
      <w:szCs w:val="16"/>
    </w:rPr>
  </w:style>
  <w:style w:type="paragraph" w:styleId="CommentText">
    <w:name w:val="annotation text"/>
    <w:basedOn w:val="Normal"/>
    <w:link w:val="CommentTextChar"/>
    <w:uiPriority w:val="99"/>
    <w:unhideWhenUsed/>
    <w:rsid w:val="00251A83"/>
    <w:pPr>
      <w:spacing w:line="240" w:lineRule="auto"/>
    </w:pPr>
    <w:rPr>
      <w:sz w:val="20"/>
      <w:szCs w:val="20"/>
    </w:rPr>
  </w:style>
  <w:style w:type="character" w:customStyle="1" w:styleId="CommentTextChar">
    <w:name w:val="Comment Text Char"/>
    <w:basedOn w:val="DefaultParagraphFont"/>
    <w:link w:val="CommentText"/>
    <w:uiPriority w:val="99"/>
    <w:rsid w:val="00251A83"/>
    <w:rPr>
      <w:sz w:val="20"/>
      <w:szCs w:val="20"/>
    </w:rPr>
  </w:style>
  <w:style w:type="paragraph" w:styleId="CommentSubject">
    <w:name w:val="annotation subject"/>
    <w:basedOn w:val="CommentText"/>
    <w:next w:val="CommentText"/>
    <w:link w:val="CommentSubjectChar"/>
    <w:uiPriority w:val="99"/>
    <w:semiHidden/>
    <w:unhideWhenUsed/>
    <w:rsid w:val="00251A83"/>
    <w:rPr>
      <w:b/>
      <w:bCs/>
    </w:rPr>
  </w:style>
  <w:style w:type="character" w:customStyle="1" w:styleId="CommentSubjectChar">
    <w:name w:val="Comment Subject Char"/>
    <w:basedOn w:val="CommentTextChar"/>
    <w:link w:val="CommentSubject"/>
    <w:uiPriority w:val="99"/>
    <w:semiHidden/>
    <w:rsid w:val="00251A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680238-2266-4ab1-9ebd-8eb4f05a8cbc" xsi:nil="true"/>
    <lcf76f155ced4ddcb4097134ff3c332f xmlns="4d4c2ab0-166a-4614-9141-e89e99beffe1">
      <Terms xmlns="http://schemas.microsoft.com/office/infopath/2007/PartnerControls"/>
    </lcf76f155ced4ddcb4097134ff3c332f>
    <_Flow_SignoffStatus xmlns="4d4c2ab0-166a-4614-9141-e89e99beffe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04EE278C08A2478E381F9914C892A1" ma:contentTypeVersion="18" ma:contentTypeDescription="Create a new document." ma:contentTypeScope="" ma:versionID="488d3d0e107e122c3727365f5cb90fc2">
  <xsd:schema xmlns:xsd="http://www.w3.org/2001/XMLSchema" xmlns:xs="http://www.w3.org/2001/XMLSchema" xmlns:p="http://schemas.microsoft.com/office/2006/metadata/properties" xmlns:ns2="4d4c2ab0-166a-4614-9141-e89e99beffe1" xmlns:ns3="d1680238-2266-4ab1-9ebd-8eb4f05a8cbc" xmlns:ns4="2f0d2361-d7ba-4229-bdcc-0e64a697eaae" targetNamespace="http://schemas.microsoft.com/office/2006/metadata/properties" ma:root="true" ma:fieldsID="f1f76db0068658ccdbf656950b4caebd" ns2:_="" ns3:_="" ns4:_="">
    <xsd:import namespace="4d4c2ab0-166a-4614-9141-e89e99beffe1"/>
    <xsd:import namespace="d1680238-2266-4ab1-9ebd-8eb4f05a8cbc"/>
    <xsd:import namespace="2f0d2361-d7ba-4229-bdcc-0e64a697eaa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LengthInSeconds" minOccurs="0"/>
                <xsd:element ref="ns2:MediaServiceSearchProperties"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2ab0-166a-4614-9141-e89e99beff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60c9a04-0a06-4c47-89e2-9dbcedd85f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_Flow_SignoffStatus" ma:index="25"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80238-2266-4ab1-9ebd-8eb4f05a8cb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b51a8d4-f943-44cb-992c-c09b76f5e0f8}" ma:internalName="TaxCatchAll" ma:showField="CatchAllData" ma:web="2f0d2361-d7ba-4229-bdcc-0e64a697eaa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f0d2361-d7ba-4229-bdcc-0e64a697eaa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1B4E00-55C0-4C72-97B8-52EE524A55A6}">
  <ds:schemaRefs>
    <ds:schemaRef ds:uri="http://schemas.microsoft.com/office/2006/metadata/properties"/>
    <ds:schemaRef ds:uri="http://schemas.microsoft.com/office/infopath/2007/PartnerControls"/>
    <ds:schemaRef ds:uri="d1680238-2266-4ab1-9ebd-8eb4f05a8cbc"/>
    <ds:schemaRef ds:uri="4d4c2ab0-166a-4614-9141-e89e99beffe1"/>
  </ds:schemaRefs>
</ds:datastoreItem>
</file>

<file path=customXml/itemProps2.xml><?xml version="1.0" encoding="utf-8"?>
<ds:datastoreItem xmlns:ds="http://schemas.openxmlformats.org/officeDocument/2006/customXml" ds:itemID="{2A70E2B3-D8DD-42B9-8229-0F9A1E22327E}"/>
</file>

<file path=customXml/itemProps3.xml><?xml version="1.0" encoding="utf-8"?>
<ds:datastoreItem xmlns:ds="http://schemas.openxmlformats.org/officeDocument/2006/customXml" ds:itemID="{C539CF1E-33EF-4C54-BBF5-2E32E46873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Fine, Danielle R.,MD, MSC</dc:creator>
  <cp:keywords/>
  <dc:description/>
  <cp:lastModifiedBy>Fine, Danielle R.,MD, MSC</cp:lastModifiedBy>
  <cp:revision>318</cp:revision>
  <dcterms:created xsi:type="dcterms:W3CDTF">2024-11-09T11:19:00Z</dcterms:created>
  <dcterms:modified xsi:type="dcterms:W3CDTF">2025-12-02T14:47:00Z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0x0101007904EE278C08A2478E381F9914C892A1</vt:lpwstr>
  </property>
  <property fmtid="{D5CDD505-2E9C-101B-9397-08002B2CF9AE}" pid="3" name="MediaServiceImageTags">
    <vt:lpwstr/>
  </property>
  <property fmtid="{D5CDD505-2E9C-101B-9397-08002B2CF9AE}" pid="5" name="docLang">
    <vt:lpwstr>en</vt:lpwstr>
  </property>
</Properties>
</file>