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DEPLOYMENT</w:t>
      </w:r>
    </w:p>
    <w:p>
      <w:pPr>
        <w:pStyle w:val="Heading2"/>
      </w:pPr>
      <w:r>
        <w:t>Multi-Region Enterprise SaaS AI Platform for Generative AI Copilots</w:t>
      </w:r>
    </w:p>
    <w:p>
      <w:pPr>
        <w:pStyle w:val="Heading2"/>
      </w:pPr>
      <w:r>
        <w:t>Problem Statement &amp; Solution Framework</w:t>
      </w:r>
    </w:p>
    <w:p>
      <w:r>
        <w:t>Industry Sector: Global Enterprise SaaS</w:t>
        <w:br/>
        <w:t>Challenge Type: Enterprise Generative AI Infrastructure, Multi-Tenant AI Platform, Global Scale, Cost Optimization</w:t>
        <w:br/>
        <w:t>Cloud Platform: AWS</w:t>
        <w:br/>
        <w:t>Scope: End-to-End AI Platform for Multi-Region AI Copilots</w:t>
      </w:r>
    </w:p>
    <w:p>
      <w:pPr>
        <w:pStyle w:val="Heading2"/>
      </w:pPr>
      <w:r>
        <w:t>Executive Summary</w:t>
      </w:r>
    </w:p>
    <w:p>
      <w:r>
        <w:t>A global B2B productivity platform serving more than 50 million users is introducing Generative AI copilots across its product portfolio. The organization requires a production-grade AI platform capable of delivering low-latency inference, enterprise-grade security, tenant isolation, and high availability while controlling GPU operating costs. The platform must support Retrieval-Augmented Generation (RAG), global deployment across five regions, and enterprise compliance for thousands of customers.</w:t>
      </w:r>
    </w:p>
    <w:p>
      <w:pPr>
        <w:pStyle w:val="Heading2"/>
      </w:pPr>
      <w:r>
        <w:t>Strategic Objectives</w:t>
      </w:r>
    </w:p>
    <w:p>
      <w:r>
        <w:t>• Performance: Sustain sub-150 ms inference latency across five global regions.</w:t>
      </w:r>
    </w:p>
    <w:p>
      <w:r>
        <w:t>• Operational Resilience: Support 3× seasonal traffic spikes with highly available regional AI hubs.</w:t>
      </w:r>
    </w:p>
    <w:p>
      <w:r>
        <w:t>• Security &amp; Compliance: Meet SOC2 Type II and ISO 27001 with strict production isolation.</w:t>
      </w:r>
    </w:p>
    <w:p>
      <w:r>
        <w:t>• Cost Optimization: Achieve approximately 60% spot-instance utilization for AI training workloads.</w:t>
      </w:r>
    </w:p>
    <w:p>
      <w:r>
        <w:t>• Tenant Isolation: Ensure zero cross-tenant data leakage across RAG and model lifecycle.</w:t>
      </w:r>
    </w:p>
    <w:p>
      <w:pPr>
        <w:pStyle w:val="Heading2"/>
      </w:pPr>
      <w:r>
        <w:t>Business Context &amp; Organizational Landscape</w:t>
      </w:r>
    </w:p>
    <w:p>
      <w:r>
        <w:t>The SaaS platform delivers AI-powered productivity capabilities to enterprise customers worldwide. Multi-tenant deployments, global user distribution, and increasing AI adoption have significantly increased demand for GPU resources, regional inference capacity, governance, and privacy controls.</w:t>
      </w:r>
    </w:p>
    <w:p>
      <w:pPr>
        <w:pStyle w:val="Heading2"/>
      </w:pPr>
      <w:r>
        <w:t>The Problem Statement</w:t>
      </w:r>
    </w:p>
    <w:p>
      <w:r>
        <w:t>How can we design a globally distributed, production-ready AI platform that delivers secure, low-latency Generative AI services at enterprise scale while minimizing GPU costs, ensuring tenant isolation, and maintaining regulatory compliance?</w:t>
      </w:r>
    </w:p>
    <w:p>
      <w:pPr>
        <w:pStyle w:val="Heading2"/>
      </w:pPr>
      <w:r>
        <w:t>Why a Multi-Region AI Platform is Essential</w:t>
      </w:r>
    </w:p>
    <w:p>
      <w:r>
        <w:t>• Global latency reduction through regional inference hubs.</w:t>
      </w:r>
    </w:p>
    <w:p>
      <w:r>
        <w:t>• Business continuity using distributed regional deployment.</w:t>
      </w:r>
    </w:p>
    <w:p>
      <w:r>
        <w:t>• Scalable GPU utilization through workload segregation.</w:t>
      </w:r>
    </w:p>
    <w:p>
      <w:r>
        <w:t>• Enterprise-grade security and data residency.</w:t>
      </w:r>
    </w:p>
    <w:p>
      <w:pPr>
        <w:pStyle w:val="Heading2"/>
      </w:pPr>
      <w:r>
        <w:t>Architecture &amp; Technical Challenges</w:t>
      </w:r>
    </w:p>
    <w:p>
      <w:r>
        <w:t>• Global AI orchestration using centralized governance.</w:t>
      </w:r>
    </w:p>
    <w:p>
      <w:r>
        <w:t>• Separate training and inference compute pools.</w:t>
      </w:r>
    </w:p>
    <w:p>
      <w:r>
        <w:t>• Secure multi-tenant RAG architecture.</w:t>
      </w:r>
    </w:p>
    <w:p>
      <w:r>
        <w:t>• Autoscaling Kubernetes inference clusters.</w:t>
      </w:r>
    </w:p>
    <w:p>
      <w:r>
        <w:t>• Cross-region metadata synchronization.</w:t>
      </w:r>
    </w:p>
    <w:p>
      <w:pPr>
        <w:pStyle w:val="Heading2"/>
      </w:pPr>
      <w:r>
        <w:t>AI Platform Excellence</w:t>
      </w:r>
    </w:p>
    <w:p>
      <w:r>
        <w:t>• Agent orchestration using Bedrock AgentCore.</w:t>
      </w:r>
    </w:p>
    <w:p>
      <w:r>
        <w:t>• KEDA and Karpenter driven autoscaling.</w:t>
      </w:r>
    </w:p>
    <w:p>
      <w:r>
        <w:t>• Warm pools for eliminating cold starts.</w:t>
      </w:r>
    </w:p>
    <w:p>
      <w:r>
        <w:t>• Tiered storage optimized for AI training and inference.</w:t>
      </w:r>
    </w:p>
    <w:p>
      <w:pPr>
        <w:pStyle w:val="Heading2"/>
      </w:pPr>
      <w:r>
        <w:t>Success Criteria &amp; Measurement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Inference Latency</w:t>
            </w:r>
          </w:p>
        </w:tc>
        <w:tc>
          <w:tcPr>
            <w:tcW w:type="dxa" w:w="2880"/>
          </w:tcPr>
          <w:p>
            <w:r>
              <w:t>&lt;150 ms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Platform Uptime</w:t>
            </w:r>
          </w:p>
        </w:tc>
        <w:tc>
          <w:tcPr>
            <w:tcW w:type="dxa" w:w="2880"/>
          </w:tcPr>
          <w:p>
            <w:r>
              <w:t>99.95%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Spot Utilization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Zero Data Leakage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Traffic Surge</w:t>
            </w:r>
          </w:p>
        </w:tc>
        <w:tc>
          <w:tcPr>
            <w:tcW w:type="dxa" w:w="2880"/>
          </w:tcPr>
          <w:p>
            <w:r>
              <w:t>3× without degradation</w:t>
            </w:r>
          </w:p>
        </w:tc>
      </w:tr>
    </w:tbl>
    <w:p>
      <w:pPr>
        <w:pStyle w:val="Heading2"/>
      </w:pPr>
      <w:r>
        <w:t>Implementation Roadmap</w:t>
      </w:r>
    </w:p>
    <w:p>
      <w:r>
        <w:t>• Phase 1 (Months 1–3): Governance, IAM, regional foundation, AI networking.</w:t>
      </w:r>
    </w:p>
    <w:p>
      <w:r>
        <w:t>• Phase 2 (Months 4–7): Deploy regional inference hubs, RAG pipeline, AI orchestration.</w:t>
      </w:r>
    </w:p>
    <w:p>
      <w:r>
        <w:t>• Phase 3 (Months 8–14): Global rollout, autoscaling optimization, cost governance, observability.</w:t>
      </w:r>
    </w:p>
    <w:p>
      <w:pPr>
        <w:pStyle w:val="Heading2"/>
      </w:pPr>
      <w:r>
        <w:t>Solution Architecture – Layered Design</w:t>
      </w:r>
    </w:p>
    <w:p>
      <w:pPr>
        <w:pStyle w:val="Heading3"/>
      </w:pPr>
      <w:r>
        <w:t>1. Global Governance &amp; Control Plane</w:t>
      </w:r>
    </w:p>
    <w:p>
      <w:r>
        <w:t>AWS Control Tower, Organizations, Bedrock AgentCore, IAM Identity Center enforce governance, AI orchestration, and tenant-aware security.</w:t>
      </w:r>
    </w:p>
    <w:p>
      <w:pPr>
        <w:pStyle w:val="Heading3"/>
      </w:pPr>
      <w:r>
        <w:t>2. Regional Compute Hubs</w:t>
      </w:r>
    </w:p>
    <w:p>
      <w:r>
        <w:t>Dedicated EKS clusters with Trainium/H100 spot pools for training and L4/Graviton inference pools managed by Karpenter, KEDA, and warm pools.</w:t>
      </w:r>
    </w:p>
    <w:p>
      <w:pPr>
        <w:pStyle w:val="Heading3"/>
      </w:pPr>
      <w:r>
        <w:t>3. Tiered Storage &amp; RAG Pipeline</w:t>
      </w:r>
    </w:p>
    <w:p>
      <w:r>
        <w:t>S3 Tables, OpenSearch vector database, Aurora Global Database, and FSx for Lustre provide high-throughput data and checkpoint storage.</w:t>
      </w:r>
    </w:p>
    <w:p>
      <w:pPr>
        <w:pStyle w:val="Heading3"/>
      </w:pPr>
      <w:r>
        <w:t>4. Edge &amp; Privacy Layer</w:t>
      </w:r>
    </w:p>
    <w:p>
      <w:r>
        <w:t>WASM edge inference and AWS PrivateLink minimize latency, improve privacy, and secure enterprise connectivity.</w:t>
      </w:r>
    </w:p>
    <w:p>
      <w:pPr>
        <w:pStyle w:val="Heading2"/>
      </w:pPr>
      <w:r>
        <w:t>End-to-End Flow Summary</w:t>
      </w:r>
    </w:p>
    <w:p>
      <w:r>
        <w:t>• User request reaches regional edge.</w:t>
      </w:r>
    </w:p>
    <w:p>
      <w:r>
        <w:t>• Identity and tenant validation performed.</w:t>
      </w:r>
    </w:p>
    <w:p>
      <w:r>
        <w:t>• Agent orchestrates model and RAG workflow.</w:t>
      </w:r>
    </w:p>
    <w:p>
      <w:r>
        <w:t>• Knowledge retrieved from vector database.</w:t>
      </w:r>
    </w:p>
    <w:p>
      <w:r>
        <w:t>• Inference executed on regional AI cluster.</w:t>
      </w:r>
    </w:p>
    <w:p>
      <w:r>
        <w:t>• Response returned with observability and governance.</w:t>
      </w:r>
    </w:p>
    <w:p>
      <w:pPr>
        <w:pStyle w:val="Heading2"/>
      </w:pPr>
      <w:r>
        <w:t>Strategic 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How Architecture Supports It</w:t>
            </w:r>
          </w:p>
        </w:tc>
      </w:tr>
      <w:tr>
        <w:tc>
          <w:tcPr>
            <w:tcW w:type="dxa" w:w="4320"/>
          </w:tcPr>
          <w:p>
            <w:r>
              <w:t>Low Latency</w:t>
            </w:r>
          </w:p>
        </w:tc>
        <w:tc>
          <w:tcPr>
            <w:tcW w:type="dxa" w:w="4320"/>
          </w:tcPr>
          <w:p>
            <w:r>
              <w:t>Regional inference hubs</w:t>
            </w:r>
          </w:p>
        </w:tc>
      </w:tr>
      <w:tr>
        <w:tc>
          <w:tcPr>
            <w:tcW w:type="dxa" w:w="4320"/>
          </w:tcPr>
          <w:p>
            <w:r>
              <w:t>Cost Reduction</w:t>
            </w:r>
          </w:p>
        </w:tc>
        <w:tc>
          <w:tcPr>
            <w:tcW w:type="dxa" w:w="4320"/>
          </w:tcPr>
          <w:p>
            <w:r>
              <w:t>Spot training and intelligent autoscaling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ABAC tenant isolation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Warm pools and Kubernetes autoscaling</w:t>
            </w:r>
          </w:p>
        </w:tc>
      </w:tr>
      <w:tr>
        <w:tc>
          <w:tcPr>
            <w:tcW w:type="dxa" w:w="4320"/>
          </w:tcPr>
          <w:p>
            <w:r>
              <w:t>Business Continuity</w:t>
            </w:r>
          </w:p>
        </w:tc>
        <w:tc>
          <w:tcPr>
            <w:tcW w:type="dxa" w:w="4320"/>
          </w:tcPr>
          <w:p>
            <w:r>
              <w:t>Multi-region deployment</w:t>
            </w:r>
          </w:p>
        </w:tc>
      </w:tr>
    </w:tbl>
    <w:p>
      <w:pPr>
        <w:pStyle w:val="Heading2"/>
      </w:pPr>
      <w:r>
        <w:t>Conclusion</w:t>
      </w:r>
    </w:p>
    <w:p>
      <w:r>
        <w:t>A production-grade multi-region AI platform enables enterprise SaaS providers to deliver secure, scalable, and cost-efficient Generative AI capabilities globally while maintaining compliance, resilience, and superior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