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0F7D7D">
        <w:rPr>
          <w:rFonts w:ascii="Times New Roman" w:eastAsia="Times New Roman" w:hAnsi="Times New Roman" w:cs="Times New Roman"/>
          <w:b/>
          <w:bCs/>
          <w:color w:val="000000" w:themeColor="text1"/>
          <w:sz w:val="18"/>
          <w:szCs w:val="18"/>
        </w:rPr>
        <w:t>1 февраля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0F7D7D">
        <w:rPr>
          <w:rFonts w:ascii="Times New Roman" w:hAnsi="Times New Roman" w:cs="Times New Roman"/>
          <w:b/>
          <w:color w:val="000000" w:themeColor="text1"/>
          <w:sz w:val="18"/>
          <w:szCs w:val="18"/>
        </w:rPr>
        <w:t>Прогресс ИП в лице Касымова Б.М.</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0F7D7D">
        <w:rPr>
          <w:rFonts w:ascii="Times New Roman" w:hAnsi="Times New Roman" w:cs="Times New Roman"/>
          <w:bCs/>
          <w:color w:val="000000" w:themeColor="text1"/>
          <w:sz w:val="18"/>
          <w:szCs w:val="18"/>
          <w:lang w:val="en-US"/>
        </w:rPr>
        <w:t>770502300860</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Pr="009D00F9">
        <w:rPr>
          <w:rFonts w:ascii="Times New Roman" w:hAnsi="Times New Roman" w:cs="Times New Roman"/>
          <w:color w:val="000000" w:themeColor="text1"/>
          <w:sz w:val="18"/>
          <w:szCs w:val="18"/>
        </w:rPr>
        <w:t xml:space="preserve"> № </w:t>
      </w:r>
      <w:r w:rsidRPr="009D00F9">
        <w:rPr>
          <w:rFonts w:ascii="Times New Roman" w:hAnsi="Times New Roman" w:cs="Times New Roman"/>
          <w:color w:val="000000" w:themeColor="text1"/>
          <w:sz w:val="18"/>
          <w:szCs w:val="18"/>
          <w:lang w:val="kk-KZ"/>
        </w:rPr>
        <w:t xml:space="preserve">выданного </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0F7D7D">
        <w:rPr>
          <w:rFonts w:ascii="Times New Roman" w:hAnsi="Times New Roman" w:cs="Times New Roman"/>
          <w:bCs/>
          <w:color w:val="000000" w:themeColor="text1"/>
          <w:sz w:val="18"/>
          <w:szCs w:val="18"/>
        </w:rPr>
        <w:t>KZ86UWQ03027370</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0F7D7D">
        <w:rPr>
          <w:rFonts w:ascii="Times New Roman" w:eastAsia="Times New Roman" w:hAnsi="Times New Roman" w:cs="Times New Roman"/>
          <w:bCs/>
          <w:color w:val="000000" w:themeColor="text1"/>
          <w:sz w:val="18"/>
          <w:szCs w:val="18"/>
        </w:rPr>
        <w:t>1</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0F7D7D">
        <w:rPr>
          <w:rFonts w:ascii="Times New Roman" w:hAnsi="Times New Roman" w:cs="Times New Roman"/>
          <w:bCs/>
          <w:color w:val="000000" w:themeColor="text1"/>
          <w:sz w:val="18"/>
          <w:szCs w:val="18"/>
        </w:rPr>
        <w:t>Интернет</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0F7D7D" w:rsidRDefault="000F7D7D"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Зона Интернета</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0F7D7D">
        <w:rPr>
          <w:rFonts w:ascii="Times New Roman" w:eastAsia="Times New Roman" w:hAnsi="Times New Roman" w:cs="Times New Roman"/>
          <w:b/>
          <w:bCs/>
          <w:color w:val="000000" w:themeColor="text1"/>
          <w:sz w:val="18"/>
          <w:szCs w:val="18"/>
        </w:rPr>
        <w:t>01.02.2022 г.</w:t>
      </w:r>
      <w:r w:rsidRPr="00945274">
        <w:rPr>
          <w:rFonts w:ascii="Times New Roman" w:hAnsi="Times New Roman" w:cs="Times New Roman"/>
          <w:color w:val="000000" w:themeColor="text1"/>
          <w:sz w:val="18"/>
          <w:szCs w:val="18"/>
        </w:rPr>
        <w:t xml:space="preserve"> по </w:t>
      </w:r>
      <w:r w:rsidR="000F7D7D">
        <w:rPr>
          <w:rFonts w:ascii="Times New Roman" w:eastAsia="Times New Roman" w:hAnsi="Times New Roman" w:cs="Times New Roman"/>
          <w:b/>
          <w:bCs/>
          <w:color w:val="000000" w:themeColor="text1"/>
          <w:sz w:val="18"/>
          <w:szCs w:val="18"/>
        </w:rPr>
        <w:t>30.09.2022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0F7D7D">
        <w:rPr>
          <w:bCs/>
          <w:color w:val="000000" w:themeColor="text1"/>
          <w:sz w:val="18"/>
          <w:szCs w:val="18"/>
        </w:rPr>
        <w:t>5 600,00</w:t>
      </w:r>
      <w:r w:rsidRPr="009D00F9">
        <w:rPr>
          <w:bCs/>
          <w:color w:val="000000" w:themeColor="text1"/>
          <w:sz w:val="18"/>
          <w:szCs w:val="18"/>
        </w:rPr>
        <w:t xml:space="preserve"> </w:t>
      </w:r>
      <w:r w:rsidRPr="009D00F9">
        <w:rPr>
          <w:color w:val="000000" w:themeColor="text1"/>
          <w:sz w:val="18"/>
          <w:szCs w:val="18"/>
        </w:rPr>
        <w:t>(</w:t>
      </w:r>
      <w:r w:rsidR="000F7D7D">
        <w:rPr>
          <w:bCs/>
          <w:color w:val="000000" w:themeColor="text1"/>
          <w:sz w:val="18"/>
          <w:szCs w:val="18"/>
        </w:rPr>
        <w:t>Пять тысяч шестьсот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0F7D7D">
        <w:rPr>
          <w:bCs/>
          <w:color w:val="000000" w:themeColor="text1"/>
          <w:sz w:val="18"/>
          <w:szCs w:val="18"/>
        </w:rPr>
        <w:t>5 600,00</w:t>
      </w:r>
      <w:r w:rsidRPr="009D00F9">
        <w:rPr>
          <w:bCs/>
          <w:color w:val="000000" w:themeColor="text1"/>
          <w:sz w:val="18"/>
          <w:szCs w:val="18"/>
        </w:rPr>
        <w:t xml:space="preserve"> </w:t>
      </w:r>
      <w:r w:rsidRPr="009D00F9">
        <w:rPr>
          <w:color w:val="000000" w:themeColor="text1"/>
          <w:sz w:val="18"/>
          <w:szCs w:val="18"/>
        </w:rPr>
        <w:t>(</w:t>
      </w:r>
      <w:r w:rsidR="000F7D7D">
        <w:rPr>
          <w:bCs/>
          <w:color w:val="000000" w:themeColor="text1"/>
          <w:sz w:val="18"/>
          <w:szCs w:val="18"/>
        </w:rPr>
        <w:t>Пять тысяч шестьсот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Pr="009D00F9">
        <w:rPr>
          <w:bCs/>
          <w:color w:val="000000" w:themeColor="text1"/>
          <w:sz w:val="18"/>
          <w:szCs w:val="18"/>
        </w:rPr>
        <w:t xml:space="preserve"> </w:t>
      </w:r>
      <w:r w:rsidRPr="009D00F9">
        <w:rPr>
          <w:color w:val="000000" w:themeColor="text1"/>
          <w:sz w:val="18"/>
          <w:szCs w:val="18"/>
        </w:rPr>
        <w:t>(</w:t>
      </w:r>
      <w:r w:rsidR="000F7D7D">
        <w:rPr>
          <w:bCs/>
          <w:color w:val="000000" w:themeColor="text1"/>
          <w:sz w:val="18"/>
          <w:szCs w:val="18"/>
        </w:rPr>
        <w:t>Ноль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0F7D7D">
              <w:rPr>
                <w:rFonts w:ascii="Times New Roman" w:hAnsi="Times New Roman" w:cs="Times New Roman"/>
                <w:b/>
                <w:color w:val="000000" w:themeColor="text1"/>
                <w:sz w:val="18"/>
                <w:szCs w:val="18"/>
              </w:rPr>
              <w:t>Прогресс ИП в лице Касымова Б.М.</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0F7D7D">
              <w:rPr>
                <w:rFonts w:ascii="Times New Roman" w:hAnsi="Times New Roman" w:cs="Times New Roman"/>
                <w:bCs/>
                <w:color w:val="000000" w:themeColor="text1"/>
                <w:sz w:val="18"/>
                <w:szCs w:val="18"/>
              </w:rPr>
              <w:t>770502300860</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0F7D7D">
              <w:rPr>
                <w:rFonts w:ascii="Times New Roman" w:hAnsi="Times New Roman" w:cs="Times New Roman"/>
                <w:bCs/>
                <w:color w:val="000000" w:themeColor="text1"/>
                <w:sz w:val="18"/>
                <w:szCs w:val="18"/>
              </w:rPr>
              <w:t>Республика Казахстан, г.Алматы, мкр-н Алгабас, ул. Оракты Батыр, дом № 9А</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0F7D7D">
              <w:rPr>
                <w:rFonts w:ascii="Times New Roman" w:hAnsi="Times New Roman" w:cs="Times New Roman"/>
                <w:bCs/>
                <w:color w:val="000000" w:themeColor="text1"/>
                <w:sz w:val="18"/>
                <w:szCs w:val="18"/>
              </w:rPr>
              <w:t>+77027500146</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0F7D7D">
        <w:rPr>
          <w:rFonts w:ascii="Times New Roman" w:eastAsia="Times New Roman" w:hAnsi="Times New Roman" w:cs="Times New Roman"/>
          <w:b/>
          <w:bCs/>
          <w:color w:val="000000" w:themeColor="text1"/>
          <w:sz w:val="18"/>
          <w:szCs w:val="18"/>
        </w:rPr>
        <w:t>1 февраля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0F7D7D">
        <w:rPr>
          <w:rFonts w:ascii="Times New Roman" w:hAnsi="Times New Roman" w:cs="Times New Roman"/>
          <w:b/>
          <w:color w:val="000000" w:themeColor="text1"/>
          <w:sz w:val="18"/>
          <w:szCs w:val="18"/>
        </w:rPr>
        <w:t>Прогресс ИП в лице Касымова Б.М.</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0F7D7D">
        <w:rPr>
          <w:rFonts w:ascii="Times New Roman" w:hAnsi="Times New Roman" w:cs="Times New Roman"/>
          <w:color w:val="000000" w:themeColor="text1"/>
          <w:sz w:val="18"/>
          <w:szCs w:val="18"/>
        </w:rPr>
        <w:t>770502300860</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Pr="009D00F9">
        <w:rPr>
          <w:rFonts w:ascii="Times New Roman" w:hAnsi="Times New Roman" w:cs="Times New Roman"/>
          <w:color w:val="000000" w:themeColor="text1"/>
          <w:sz w:val="18"/>
          <w:szCs w:val="18"/>
        </w:rPr>
        <w:t xml:space="preserve"> № </w:t>
      </w:r>
      <w:r>
        <w:rPr>
          <w:rFonts w:ascii="Times New Roman" w:hAnsi="Times New Roman" w:cs="Times New Roman"/>
          <w:sz w:val="18"/>
          <w:szCs w:val="18"/>
          <w:lang w:val="kk-KZ"/>
        </w:rPr>
        <w:t xml:space="preserve">выданного </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0F7D7D">
        <w:rPr>
          <w:rFonts w:ascii="Times New Roman" w:hAnsi="Times New Roman" w:cs="Times New Roman"/>
          <w:bCs/>
          <w:color w:val="000000" w:themeColor="text1"/>
          <w:sz w:val="18"/>
          <w:szCs w:val="18"/>
        </w:rPr>
        <w:t>KZ86UWQ03027370</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0F7D7D">
        <w:rPr>
          <w:rFonts w:ascii="Times New Roman" w:eastAsia="Times New Roman" w:hAnsi="Times New Roman" w:cs="Times New Roman"/>
          <w:bCs/>
          <w:color w:val="000000" w:themeColor="text1"/>
          <w:sz w:val="18"/>
          <w:szCs w:val="18"/>
        </w:rPr>
        <w:t>01.02.2022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0F7D7D">
        <w:rPr>
          <w:bCs/>
          <w:color w:val="000000" w:themeColor="text1"/>
          <w:sz w:val="18"/>
          <w:szCs w:val="18"/>
        </w:rPr>
        <w:t>1</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0F7D7D">
        <w:rPr>
          <w:bCs/>
          <w:color w:val="000000" w:themeColor="text1"/>
          <w:sz w:val="18"/>
          <w:szCs w:val="18"/>
        </w:rPr>
        <w:t>Интернет</w:t>
      </w:r>
      <w:r w:rsidRPr="009D00F9">
        <w:rPr>
          <w:color w:val="000000" w:themeColor="text1"/>
          <w:sz w:val="18"/>
          <w:szCs w:val="18"/>
        </w:rPr>
        <w:t xml:space="preserve">, </w:t>
      </w:r>
      <w:r>
        <w:rPr>
          <w:sz w:val="18"/>
          <w:szCs w:val="18"/>
        </w:rPr>
        <w:t>торговое место:</w:t>
      </w:r>
    </w:p>
    <w:p w:rsidR="009D00F9" w:rsidRDefault="000F7D7D"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Зона Интернета</w:t>
      </w:r>
    </w:p>
    <w:p w:rsidR="000F7D7D" w:rsidRPr="009D00F9" w:rsidRDefault="000F7D7D"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0F7D7D">
              <w:rPr>
                <w:rFonts w:ascii="Times New Roman" w:hAnsi="Times New Roman" w:cs="Times New Roman"/>
                <w:b/>
                <w:color w:val="000000" w:themeColor="text1"/>
                <w:sz w:val="18"/>
                <w:szCs w:val="18"/>
              </w:rPr>
              <w:t>Прогресс ИП в лице Касымова Б.М.</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0F7D7D">
              <w:rPr>
                <w:rFonts w:ascii="Times New Roman" w:hAnsi="Times New Roman" w:cs="Times New Roman"/>
                <w:bCs/>
                <w:color w:val="000000" w:themeColor="text1"/>
                <w:sz w:val="18"/>
                <w:szCs w:val="18"/>
              </w:rPr>
              <w:t>770502300860</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0F7D7D">
              <w:rPr>
                <w:rFonts w:ascii="Times New Roman" w:hAnsi="Times New Roman" w:cs="Times New Roman"/>
                <w:bCs/>
                <w:color w:val="000000" w:themeColor="text1"/>
                <w:sz w:val="18"/>
                <w:szCs w:val="18"/>
              </w:rPr>
              <w:t>Республика Казахстан, г.Алматы, мкр-н Алгабас, ул. Оракты Батыр, дом № 9А</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0F7D7D">
              <w:rPr>
                <w:rFonts w:ascii="Times New Roman" w:hAnsi="Times New Roman" w:cs="Times New Roman"/>
                <w:bCs/>
                <w:color w:val="000000" w:themeColor="text1"/>
                <w:sz w:val="18"/>
                <w:szCs w:val="18"/>
              </w:rPr>
              <w:t>+77027500146</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959D5" w:rsidRDefault="00E959D5">
      <w:pPr>
        <w:spacing w:after="0" w:line="240" w:lineRule="auto"/>
      </w:pPr>
      <w:r>
        <w:separator/>
      </w:r>
    </w:p>
  </w:endnote>
  <w:endnote w:type="continuationSeparator" w:id="0">
    <w:p w:rsidR="00E959D5" w:rsidRDefault="00E95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959D5" w:rsidRDefault="00E959D5">
      <w:pPr>
        <w:spacing w:after="0" w:line="240" w:lineRule="auto"/>
      </w:pPr>
      <w:r>
        <w:separator/>
      </w:r>
    </w:p>
  </w:footnote>
  <w:footnote w:type="continuationSeparator" w:id="0">
    <w:p w:rsidR="00E959D5" w:rsidRDefault="00E959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0F7D7D"/>
    <w:rsid w:val="001F5D20"/>
    <w:rsid w:val="00215B7A"/>
    <w:rsid w:val="00283486"/>
    <w:rsid w:val="003B365E"/>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91BCC"/>
    <w:rsid w:val="009413D5"/>
    <w:rsid w:val="00944BCA"/>
    <w:rsid w:val="00945274"/>
    <w:rsid w:val="00951201"/>
    <w:rsid w:val="00997A58"/>
    <w:rsid w:val="009A1694"/>
    <w:rsid w:val="009B5EB6"/>
    <w:rsid w:val="009D00F9"/>
    <w:rsid w:val="00A05B34"/>
    <w:rsid w:val="00B17030"/>
    <w:rsid w:val="00B26B78"/>
    <w:rsid w:val="00B30D08"/>
    <w:rsid w:val="00C517F5"/>
    <w:rsid w:val="00C920DF"/>
    <w:rsid w:val="00D82D74"/>
    <w:rsid w:val="00E94F4A"/>
    <w:rsid w:val="00E959D5"/>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5266</Words>
  <Characters>30021</Characters>
  <Application>Microsoft Office Word</Application>
  <DocSecurity>0</DocSecurity>
  <Lines>250</Lines>
  <Paragraphs>70</Paragraphs>
  <ScaleCrop>false</ScaleCrop>
  <Company/>
  <LinksUpToDate>false</LinksUpToDate>
  <CharactersWithSpaces>35217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car04</cp:lastModifiedBy>
  <cp:revision>1</cp:revision>
  <dcterms:created xsi:type="dcterms:W3CDTF">2022-03-31T05:51:00Z</dcterms:created>
  <dcterms:modified xsi:type="dcterms:W3CDTF">2022-03-31T05:51:00Z</dcterms:modified>
</cp:coreProperties>
</file>