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55E9" w:rsidRDefault="00760CB5">
      <w:pPr>
        <w:pStyle w:val="Textoindependiente"/>
        <w:spacing w:after="0"/>
        <w:jc w:val="both"/>
        <w:rPr>
          <w:rFonts w:eastAsia="SimSun;宋体" w:cs="Mangal;Courier New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9BB2D" wp14:editId="7BAE860F">
                <wp:simplePos x="0" y="0"/>
                <wp:positionH relativeFrom="column">
                  <wp:posOffset>-640045</wp:posOffset>
                </wp:positionH>
                <wp:positionV relativeFrom="paragraph">
                  <wp:posOffset>-327103</wp:posOffset>
                </wp:positionV>
                <wp:extent cx="566420" cy="5635625"/>
                <wp:effectExtent l="0" t="0" r="17780" b="15875"/>
                <wp:wrapNone/>
                <wp:docPr id="15210430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66420" cy="5635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CB5" w:rsidRDefault="00760CB5" w:rsidP="00760CB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Avenida Buenos Aires 3-5, Edificio Usos Múltiples III, 4ª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CP 38071 Santa Cruz de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Tenerife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: 922 42 35 00  </w:t>
                            </w:r>
                          </w:p>
                          <w:p w:rsidR="00760CB5" w:rsidRDefault="00760CB5" w:rsidP="00760CB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Calle Granadera Canaria 2, Edificio Granadera Canaria, 1ª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CP 35071 Las Palmas de Gran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Canaria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: 928 45 54 00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9BB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50.4pt;margin-top:-25.75pt;width:44.6pt;height:443.7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" filled="f" strokeweight=".5pt">
                <v:textbox style="layout-flow:vertical-ideographic">
                  <w:txbxContent>
                    <w:p w:rsidR="00760CB5" w:rsidRDefault="00760CB5" w:rsidP="00760CB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Avenida Buenos Aires 3-5, Edificio Usos Múltiples III, 4ª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CP 38071 Santa Cruz de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Tenerife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: 922 42 35 00  </w:t>
                      </w:r>
                    </w:p>
                    <w:p w:rsidR="00760CB5" w:rsidRDefault="00760CB5" w:rsidP="00760CB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Calle Granadera Canaria 2, Edificio Granadera Canaria, 1ª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CP 35071 Las Palmas de Gran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Canaria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: 928 45 54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imSun;宋体" w:cs="Mangal;Courier New"/>
          <w:b/>
          <w:bCs/>
          <w:color w:val="000000"/>
        </w:rPr>
        <w:t>[</w:t>
      </w:r>
      <w:proofErr w:type="spellStart"/>
      <w:r>
        <w:rPr>
          <w:rFonts w:eastAsia="SimSun;宋体" w:cs="Mangal;Courier New"/>
          <w:b/>
          <w:bCs/>
          <w:color w:val="000000"/>
        </w:rPr>
        <w:t>post_title</w:t>
      </w:r>
      <w:proofErr w:type="spellEnd"/>
      <w:r>
        <w:rPr>
          <w:rFonts w:eastAsia="SimSun;宋体" w:cs="Mangal;Courier New"/>
          <w:b/>
          <w:bCs/>
          <w:color w:val="000000"/>
        </w:rPr>
        <w:t>]</w:t>
      </w:r>
    </w:p>
    <w:p w:rsidR="005855E9" w:rsidRDefault="005855E9">
      <w:pPr>
        <w:pStyle w:val="Textoindependiente"/>
        <w:spacing w:after="0"/>
        <w:jc w:val="both"/>
        <w:rPr>
          <w:sz w:val="22"/>
          <w:szCs w:val="22"/>
        </w:rPr>
      </w:pPr>
    </w:p>
    <w:p w:rsidR="005855E9" w:rsidRDefault="00000000">
      <w:pPr>
        <w:pStyle w:val="Textoindependiente"/>
        <w:spacing w:after="0"/>
        <w:jc w:val="both"/>
      </w:pPr>
      <w:r>
        <w:t>[objeto], y de acuerdo con los siguientes:</w:t>
      </w:r>
    </w:p>
    <w:p w:rsidR="005855E9" w:rsidRDefault="005855E9">
      <w:pPr>
        <w:pStyle w:val="Textoindependiente"/>
        <w:spacing w:after="0"/>
        <w:jc w:val="both"/>
      </w:pPr>
    </w:p>
    <w:p w:rsidR="005855E9" w:rsidRDefault="00000000">
      <w:pPr>
        <w:spacing w:line="276" w:lineRule="auto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ANTECEDENTES DE HECHO</w:t>
      </w:r>
    </w:p>
    <w:p w:rsidR="005855E9" w:rsidRDefault="005855E9">
      <w:pPr>
        <w:spacing w:line="276" w:lineRule="auto"/>
        <w:jc w:val="center"/>
      </w:pPr>
    </w:p>
    <w:p w:rsidR="005855E9" w:rsidRDefault="00000000">
      <w:pPr>
        <w:spacing w:before="58" w:after="58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[antecedentes]</w:t>
      </w:r>
    </w:p>
    <w:p w:rsidR="005855E9" w:rsidRDefault="005855E9">
      <w:pPr>
        <w:spacing w:before="1" w:after="1" w:line="276" w:lineRule="auto"/>
        <w:jc w:val="both"/>
        <w:rPr>
          <w:rFonts w:eastAsia="Times New Roman" w:cs="Times New Roman"/>
          <w:sz w:val="20"/>
        </w:rPr>
      </w:pPr>
    </w:p>
    <w:p w:rsidR="005855E9" w:rsidRDefault="00000000">
      <w:pPr>
        <w:spacing w:line="276" w:lineRule="auto"/>
        <w:ind w:right="283"/>
        <w:jc w:val="center"/>
        <w:rPr>
          <w:b/>
        </w:rPr>
      </w:pPr>
      <w:r>
        <w:rPr>
          <w:b/>
        </w:rPr>
        <w:t>FUNDAMENTOS DE DERECHO</w:t>
      </w:r>
    </w:p>
    <w:p w:rsidR="005855E9" w:rsidRDefault="005855E9">
      <w:pPr>
        <w:spacing w:line="276" w:lineRule="auto"/>
        <w:ind w:right="283"/>
        <w:jc w:val="both"/>
        <w:rPr>
          <w:b/>
        </w:rPr>
      </w:pPr>
    </w:p>
    <w:p w:rsidR="005855E9" w:rsidRDefault="00000000">
      <w:pPr>
        <w:pStyle w:val="Textoindependiente"/>
        <w:spacing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[fundamentos]</w:t>
      </w:r>
    </w:p>
    <w:p w:rsidR="005855E9" w:rsidRDefault="005855E9">
      <w:pPr>
        <w:pStyle w:val="Textoindependiente"/>
        <w:spacing w:after="0"/>
        <w:jc w:val="both"/>
        <w:rPr>
          <w:rFonts w:cs="Times New Roman"/>
          <w:color w:val="000000"/>
          <w:sz w:val="20"/>
        </w:rPr>
      </w:pPr>
    </w:p>
    <w:p w:rsidR="005855E9" w:rsidRDefault="00000000">
      <w:pPr>
        <w:spacing w:line="276" w:lineRule="auto"/>
        <w:jc w:val="center"/>
        <w:rPr>
          <w:rFonts w:eastAsia="SimSun;宋体" w:cs="Mangal;Courier New"/>
          <w:b/>
          <w:color w:val="000000"/>
        </w:rPr>
      </w:pPr>
      <w:r>
        <w:rPr>
          <w:rFonts w:eastAsia="SimSun;宋体" w:cs="Mangal;Courier New"/>
          <w:b/>
          <w:color w:val="000000"/>
        </w:rPr>
        <w:t>RESUELVO</w:t>
      </w:r>
    </w:p>
    <w:p w:rsidR="005855E9" w:rsidRDefault="005855E9">
      <w:pPr>
        <w:spacing w:line="276" w:lineRule="auto"/>
        <w:jc w:val="both"/>
        <w:rPr>
          <w:rFonts w:eastAsia="SimSun;宋体" w:cs="Mangal;Courier New"/>
          <w:b/>
          <w:color w:val="000000"/>
        </w:rPr>
      </w:pPr>
    </w:p>
    <w:p w:rsidR="005855E9" w:rsidRDefault="00000000">
      <w:pPr>
        <w:pStyle w:val="Textoindependiente"/>
        <w:spacing w:after="0"/>
        <w:jc w:val="both"/>
        <w:rPr>
          <w:rFonts w:eastAsia="SimSun;宋体" w:cs="Mangal;Courier New"/>
          <w:color w:val="000000"/>
        </w:rPr>
      </w:pPr>
      <w:r>
        <w:rPr>
          <w:rFonts w:eastAsia="SimSun;宋体" w:cs="Mangal;Courier New"/>
          <w:color w:val="000000"/>
        </w:rPr>
        <w:t>[dispositivo]</w:t>
      </w:r>
    </w:p>
    <w:p w:rsidR="005855E9" w:rsidRDefault="005855E9">
      <w:pPr>
        <w:spacing w:line="276" w:lineRule="auto"/>
        <w:jc w:val="both"/>
      </w:pPr>
    </w:p>
    <w:p w:rsidR="00A34B2F" w:rsidRPr="00A34B2F" w:rsidRDefault="00000000" w:rsidP="00A34B2F">
      <w:pPr>
        <w:pStyle w:val="Textoindependiente"/>
        <w:widowControl/>
        <w:spacing w:after="0"/>
        <w:jc w:val="both"/>
        <w:textAlignment w:val="auto"/>
        <w:rPr>
          <w:b/>
          <w:bCs/>
          <w:sz w:val="22"/>
          <w:szCs w:val="22"/>
        </w:rPr>
      </w:pPr>
      <w:r>
        <w:rPr>
          <w:rFonts w:eastAsia="Times;Times New Roman" w:cs="Times New Roman"/>
          <w:b/>
          <w:bCs/>
          <w:color w:val="000000"/>
          <w:lang w:bidi="ar-SA"/>
        </w:rPr>
        <w:t>EL DIRECTOR GENERAL DE ORDENACIÓN DE LAS ENSEÑANZAS, INCLUSIÓN E INNOVACIÓN</w:t>
      </w:r>
    </w:p>
    <w:p w:rsidR="00A34B2F" w:rsidRPr="00A34B2F" w:rsidRDefault="00A34B2F" w:rsidP="00A34B2F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p w:rsidR="00A34B2F" w:rsidRPr="00A34B2F" w:rsidRDefault="00A34B2F" w:rsidP="00A34B2F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  <w:r w:rsidRPr="00A34B2F">
        <w:rPr>
          <w:rFonts w:eastAsia="Times New Roman" w:cs="Times New Roman"/>
          <w:color w:val="000000"/>
          <w:sz w:val="20"/>
        </w:rPr>
        <w:t>[</w:t>
      </w:r>
      <w:proofErr w:type="spellStart"/>
      <w:proofErr w:type="gramStart"/>
      <w:r w:rsidRPr="00A34B2F">
        <w:rPr>
          <w:rFonts w:eastAsia="Times New Roman" w:cs="Times New Roman"/>
          <w:color w:val="000000"/>
          <w:sz w:val="20"/>
        </w:rPr>
        <w:t>onshow;block</w:t>
      </w:r>
      <w:proofErr w:type="spellEnd"/>
      <w:proofErr w:type="gramEnd"/>
      <w:r w:rsidRPr="00A34B2F">
        <w:rPr>
          <w:rFonts w:eastAsia="Times New Roman" w:cs="Times New Roman"/>
          <w:color w:val="000000"/>
          <w:sz w:val="20"/>
        </w:rPr>
        <w:t>=</w:t>
      </w:r>
      <w:proofErr w:type="spellStart"/>
      <w:proofErr w:type="gramStart"/>
      <w:r w:rsidRPr="00A34B2F">
        <w:rPr>
          <w:rFonts w:eastAsia="Times New Roman" w:cs="Times New Roman"/>
          <w:color w:val="000000"/>
          <w:sz w:val="20"/>
        </w:rPr>
        <w:t>begin;repeat</w:t>
      </w:r>
      <w:proofErr w:type="spellEnd"/>
      <w:proofErr w:type="gramEnd"/>
      <w:r w:rsidRPr="00A34B2F">
        <w:rPr>
          <w:rFonts w:eastAsia="Times New Roman" w:cs="Times New Roman"/>
          <w:color w:val="000000"/>
          <w:sz w:val="20"/>
        </w:rPr>
        <w:t>=</w:t>
      </w:r>
      <w:proofErr w:type="spellStart"/>
      <w:r w:rsidRPr="00A34B2F">
        <w:rPr>
          <w:rFonts w:eastAsia="Times New Roman" w:cs="Times New Roman"/>
          <w:color w:val="000000"/>
          <w:sz w:val="20"/>
        </w:rPr>
        <w:t>annexes</w:t>
      </w:r>
      <w:proofErr w:type="spellEnd"/>
      <w:r w:rsidRPr="00A34B2F">
        <w:rPr>
          <w:rFonts w:eastAsia="Times New Roman" w:cs="Times New Roman"/>
          <w:color w:val="000000"/>
          <w:sz w:val="20"/>
        </w:rPr>
        <w:t>]</w:t>
      </w:r>
    </w:p>
    <w:p w:rsidR="000450CE" w:rsidRDefault="000450CE">
      <w:pPr>
        <w:widowControl/>
        <w:textAlignment w:val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br w:type="page"/>
      </w:r>
    </w:p>
    <w:p w:rsidR="00A34B2F" w:rsidRPr="00A34B2F" w:rsidRDefault="00A34B2F" w:rsidP="00A34B2F">
      <w:pPr>
        <w:spacing w:line="276" w:lineRule="auto"/>
        <w:jc w:val="center"/>
        <w:rPr>
          <w:rFonts w:eastAsia="Times New Roman" w:cs="Times New Roman"/>
          <w:color w:val="000000"/>
          <w:sz w:val="20"/>
        </w:rPr>
      </w:pPr>
      <w:r w:rsidRPr="00A34B2F">
        <w:rPr>
          <w:rFonts w:eastAsia="Times New Roman" w:cs="Times New Roman"/>
          <w:b/>
          <w:bCs/>
          <w:color w:val="000000"/>
        </w:rPr>
        <w:lastRenderedPageBreak/>
        <w:t>Anexo [[</w:t>
      </w:r>
      <w:proofErr w:type="spellStart"/>
      <w:proofErr w:type="gramStart"/>
      <w:r w:rsidRPr="00A34B2F">
        <w:rPr>
          <w:rFonts w:eastAsia="Times New Roman" w:cs="Times New Roman"/>
          <w:b/>
          <w:bCs/>
          <w:color w:val="000000"/>
        </w:rPr>
        <w:t>annexes.number</w:t>
      </w:r>
      <w:proofErr w:type="spellEnd"/>
      <w:proofErr w:type="gramEnd"/>
      <w:r w:rsidRPr="00A34B2F">
        <w:rPr>
          <w:rFonts w:eastAsia="Times New Roman" w:cs="Times New Roman"/>
          <w:b/>
          <w:bCs/>
          <w:color w:val="000000"/>
        </w:rPr>
        <w:t>]]</w:t>
      </w:r>
    </w:p>
    <w:p w:rsidR="00A34B2F" w:rsidRPr="00A34B2F" w:rsidRDefault="00A34B2F" w:rsidP="00A34B2F">
      <w:pPr>
        <w:spacing w:line="276" w:lineRule="auto"/>
        <w:jc w:val="center"/>
        <w:rPr>
          <w:rFonts w:eastAsia="Times New Roman" w:cs="Times New Roman"/>
          <w:color w:val="000000"/>
          <w:sz w:val="20"/>
        </w:rPr>
      </w:pPr>
      <w:r w:rsidRPr="00A34B2F">
        <w:rPr>
          <w:b/>
          <w:color w:val="000000"/>
        </w:rPr>
        <w:t>[[</w:t>
      </w:r>
      <w:proofErr w:type="spellStart"/>
      <w:proofErr w:type="gramStart"/>
      <w:r w:rsidRPr="00A34B2F">
        <w:rPr>
          <w:b/>
          <w:color w:val="000000"/>
        </w:rPr>
        <w:t>annexes.title</w:t>
      </w:r>
      <w:proofErr w:type="spellEnd"/>
      <w:proofErr w:type="gramEnd"/>
      <w:r w:rsidRPr="00A34B2F">
        <w:rPr>
          <w:b/>
          <w:color w:val="000000"/>
        </w:rPr>
        <w:t>]]</w:t>
      </w:r>
    </w:p>
    <w:p w:rsidR="00A34B2F" w:rsidRPr="00A34B2F" w:rsidRDefault="00A34B2F" w:rsidP="00A34B2F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p w:rsidR="00A34B2F" w:rsidRPr="00A34B2F" w:rsidRDefault="00A34B2F" w:rsidP="00A34B2F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  <w:r w:rsidRPr="00A34B2F">
        <w:rPr>
          <w:rFonts w:eastAsia="SimSun;宋体" w:cs="Times New Roman"/>
          <w:color w:val="000000"/>
        </w:rPr>
        <w:t>[[</w:t>
      </w:r>
      <w:proofErr w:type="spellStart"/>
      <w:proofErr w:type="gramStart"/>
      <w:r w:rsidRPr="00A34B2F">
        <w:rPr>
          <w:rFonts w:eastAsia="SimSun;宋体" w:cs="Times New Roman"/>
          <w:color w:val="000000"/>
        </w:rPr>
        <w:t>annexes.content</w:t>
      </w:r>
      <w:proofErr w:type="spellEnd"/>
      <w:proofErr w:type="gramEnd"/>
      <w:r w:rsidRPr="00A34B2F">
        <w:rPr>
          <w:rFonts w:eastAsia="SimSun;宋体" w:cs="Times New Roman"/>
          <w:color w:val="000000"/>
        </w:rPr>
        <w:t>]]</w:t>
      </w:r>
    </w:p>
    <w:p w:rsidR="00A34B2F" w:rsidRPr="00A34B2F" w:rsidRDefault="00A34B2F" w:rsidP="00A34B2F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p w:rsidR="005855E9" w:rsidRDefault="005855E9">
      <w:pPr>
        <w:pStyle w:val="Textoindependiente"/>
        <w:spacing w:after="0"/>
        <w:jc w:val="both"/>
        <w:rPr>
          <w:rFonts w:cs="Times New Roman"/>
        </w:rPr>
      </w:pPr>
    </w:p>
    <w:p w:rsidR="005855E9" w:rsidRDefault="00000000">
      <w:pPr>
        <w:spacing w:line="276" w:lineRule="auto"/>
        <w:jc w:val="both"/>
        <w:rPr>
          <w:b/>
          <w:sz w:val="22"/>
          <w:szCs w:val="22"/>
        </w:rPr>
      </w:pPr>
      <w:r>
        <w:rPr>
          <w:rFonts w:eastAsia="SimSun;宋体"/>
          <w:b/>
          <w:bCs/>
        </w:rPr>
        <w:t>EL RESPONSABLE DEL SERVICIO DE ORDENACIÓN</w:t>
      </w:r>
    </w:p>
    <w:p w:rsidR="005855E9" w:rsidRDefault="005855E9">
      <w:pPr>
        <w:spacing w:line="276" w:lineRule="auto"/>
        <w:jc w:val="both"/>
        <w:rPr>
          <w:rFonts w:eastAsia="Times New Roman" w:cs="Times New Roman"/>
          <w:color w:val="000000"/>
          <w:sz w:val="20"/>
        </w:rPr>
      </w:pPr>
    </w:p>
    <w:sectPr w:rsidR="00585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119" w:right="851" w:bottom="2410" w:left="1701" w:header="1276" w:footer="226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2BC2" w:rsidRDefault="00652BC2">
      <w:r>
        <w:separator/>
      </w:r>
    </w:p>
  </w:endnote>
  <w:endnote w:type="continuationSeparator" w:id="0">
    <w:p w:rsidR="00652BC2" w:rsidRDefault="0065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20B0604020202020204"/>
    <w:charset w:val="80"/>
    <w:family w:val="roman"/>
    <w:pitch w:val="default"/>
  </w:font>
  <w:font w:name="Mangal;Courier New">
    <w:panose1 w:val="020B0604020202020204"/>
    <w:charset w:val="00"/>
    <w:family w:val="roman"/>
    <w:pitch w:val="default"/>
  </w:font>
  <w:font w:name="Univers LT Std 45 Light">
    <w:altName w:val="Cambria"/>
    <w:panose1 w:val="020B0604020202020204"/>
    <w:charset w:val="01"/>
    <w:family w:val="roman"/>
    <w:pitch w:val="variable"/>
  </w:font>
  <w:font w:name="Times;Times New Roman">
    <w:panose1 w:val="020B0604020202020204"/>
    <w:charset w:val="00"/>
    <w:family w:val="roman"/>
    <w:pitch w:val="default"/>
  </w:font>
  <w:font w:name="Univers 45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0CE" w:rsidRDefault="00045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Piedepgina"/>
      <w:jc w:val="right"/>
      <w:rPr>
        <w:rFonts w:ascii="Univers 45 Light" w:hAnsi="Univers 45 Light" w:cs="Univers 45 Light"/>
        <w:szCs w:val="20"/>
      </w:rPr>
    </w:pPr>
    <w:r>
      <w:rPr>
        <w:rFonts w:ascii="Univers 45 Light" w:hAnsi="Univers 45 Light" w:cs="Univers 45 Light"/>
        <w:szCs w:val="20"/>
      </w:rPr>
      <w:fldChar w:fldCharType="begin"/>
    </w:r>
    <w:r>
      <w:rPr>
        <w:rFonts w:ascii="Univers 45 Light" w:hAnsi="Univers 45 Light" w:cs="Univers 45 Light"/>
        <w:szCs w:val="20"/>
      </w:rPr>
      <w:instrText xml:space="preserve"> PAGE </w:instrText>
    </w:r>
    <w:r>
      <w:rPr>
        <w:rFonts w:ascii="Univers 45 Light" w:hAnsi="Univers 45 Light" w:cs="Univers 45 Light"/>
        <w:szCs w:val="20"/>
      </w:rPr>
      <w:fldChar w:fldCharType="separate"/>
    </w:r>
    <w:r>
      <w:rPr>
        <w:rFonts w:ascii="Univers 45 Light" w:hAnsi="Univers 45 Light" w:cs="Univers 45 Light"/>
        <w:szCs w:val="20"/>
      </w:rPr>
      <w:t>2</w:t>
    </w:r>
    <w:r>
      <w:rPr>
        <w:rFonts w:ascii="Univers 45 Light" w:hAnsi="Univers 45 Light" w:cs="Univers 45 Light"/>
        <w:szCs w:val="20"/>
      </w:rPr>
      <w:fldChar w:fldCharType="end"/>
    </w:r>
  </w:p>
  <w:p w:rsidR="005855E9" w:rsidRDefault="005855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Piedepgina"/>
      <w:jc w:val="right"/>
      <w:rPr>
        <w:rFonts w:ascii="Calibri Light" w:hAnsi="Calibri Light" w:cs="Calibri Light"/>
      </w:rPr>
    </w:pPr>
    <w:r>
      <w:rPr>
        <w:rFonts w:ascii="Calibri Light" w:hAnsi="Calibri Light" w:cs="Calibri Light"/>
      </w:rPr>
      <w:fldChar w:fldCharType="begin"/>
    </w:r>
    <w:r>
      <w:rPr>
        <w:rFonts w:ascii="Calibri Light" w:hAnsi="Calibri Light" w:cs="Calibri Light"/>
      </w:rPr>
      <w:instrText xml:space="preserve"> PAGE </w:instrText>
    </w:r>
    <w:r>
      <w:rPr>
        <w:rFonts w:ascii="Calibri Light" w:hAnsi="Calibri Light" w:cs="Calibri Light"/>
      </w:rPr>
      <w:fldChar w:fldCharType="separate"/>
    </w:r>
    <w:r>
      <w:rPr>
        <w:rFonts w:ascii="Calibri Light" w:hAnsi="Calibri Light" w:cs="Calibri Light"/>
      </w:rPr>
      <w:t>1</w:t>
    </w:r>
    <w:r>
      <w:rPr>
        <w:rFonts w:ascii="Calibri Light" w:hAnsi="Calibri Light" w:cs="Calibr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2BC2" w:rsidRDefault="00652BC2">
      <w:r>
        <w:separator/>
      </w:r>
    </w:p>
  </w:footnote>
  <w:footnote w:type="continuationSeparator" w:id="0">
    <w:p w:rsidR="00652BC2" w:rsidRDefault="00652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0CE" w:rsidRDefault="000450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Encabezado"/>
      <w:jc w:val="right"/>
    </w:pPr>
    <w:r>
      <w:rPr>
        <w:noProof/>
      </w:rPr>
      <w:drawing>
        <wp:inline distT="0" distB="0" distL="0" distR="0">
          <wp:extent cx="285750" cy="541020"/>
          <wp:effectExtent l="0" t="0" r="0" b="0"/>
          <wp:docPr id="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55E9" w:rsidRDefault="00000000">
    <w:pPr>
      <w:pStyle w:val="Encabezado"/>
      <w:tabs>
        <w:tab w:val="left" w:pos="708"/>
        <w:tab w:val="left" w:pos="1860"/>
        <w:tab w:val="left" w:pos="3492"/>
      </w:tabs>
      <w:rPr>
        <w:rFonts w:ascii="Calibri" w:hAnsi="Calibri" w:cs="Calibri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-437515</wp:posOffset>
          </wp:positionH>
          <wp:positionV relativeFrom="paragraph">
            <wp:posOffset>60960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5DA7"/>
    <w:multiLevelType w:val="multilevel"/>
    <w:tmpl w:val="232EFE6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27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8304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E9"/>
    <w:rsid w:val="000450CE"/>
    <w:rsid w:val="00097E53"/>
    <w:rsid w:val="005855E9"/>
    <w:rsid w:val="00652BC2"/>
    <w:rsid w:val="00760CB5"/>
    <w:rsid w:val="009D4295"/>
    <w:rsid w:val="00A34B2F"/>
    <w:rsid w:val="00CF28AA"/>
    <w:rsid w:val="00E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69436-114B-A542-8D4F-F1CA411E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rebuchet MS" w:eastAsia="Times New Roman" w:hAnsi="Trebuchet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Trebuchet M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styleId="Nmerodepgina">
    <w:name w:val="page number"/>
    <w:basedOn w:val="Fuentedeprrafopredeter"/>
    <w:qFormat/>
  </w:style>
  <w:style w:type="character" w:customStyle="1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erdana">
    <w:name w:val="verdana"/>
    <w:basedOn w:val="Fuentedeprrafopredeter"/>
    <w:qFormat/>
  </w:style>
  <w:style w:type="character" w:customStyle="1" w:styleId="SinespaciadoCar">
    <w:name w:val="Sin espaciado Car"/>
    <w:qFormat/>
    <w:rPr>
      <w:rFonts w:ascii="Calibri" w:eastAsia="Calibri" w:hAnsi="Calibri" w:cs="Calibri"/>
      <w:sz w:val="22"/>
      <w:szCs w:val="22"/>
      <w:lang w:val="es-ES" w:bidi="ar-SA"/>
    </w:rPr>
  </w:style>
  <w:style w:type="character" w:customStyle="1" w:styleId="PiedepginaCar">
    <w:name w:val="Pie de página Car"/>
    <w:qFormat/>
    <w:rPr>
      <w:rFonts w:ascii="Arial" w:hAnsi="Arial" w:cs="Arial"/>
      <w:szCs w:val="24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ascii="Arial" w:eastAsia="Times New Roman" w:hAnsi="Arial" w:cs="Arial"/>
      <w:kern w:val="2"/>
      <w:szCs w:val="24"/>
      <w:lang w:eastAsia="zh-C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Prrafodelista">
    <w:name w:val="List Paragraph"/>
    <w:basedOn w:val="Standard"/>
    <w:qFormat/>
    <w:pPr>
      <w:ind w:left="708"/>
    </w:pPr>
  </w:style>
  <w:style w:type="paragraph" w:customStyle="1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Sinespaciado">
    <w:name w:val="No Spacing"/>
    <w:qFormat/>
    <w:pPr>
      <w:textAlignment w:val="baseline"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libramiento de fondos extraordinarios para los centros participantes en Distrito AICLE</dc:title>
  <dc:subject>Resolución de libramiento de fondos extraordinarios para los centros participantes en Distrito AICLE</dc:subject>
  <dc:creator/>
  <cp:keywords>plurilingüismo lenguas extranjeras libramientos extraordinario plei consejería de educación actividad física y deportes</cp:keywords>
  <dc:description>PROPUESTA- RESOLUCIÓN DE LA DIRECCIÓN GENERAL DE ORDENACIÓN DE LAS ENSEÑANZAS, INCLUSIÓN E INNOVACIÓN POR LA QUE SE ASIGNAN DOTACIONES ECONÓMICAS EXTRAORDINARIAS, Y SE AUTORIZA Y ORDENA EL CORRESPONDIENTE LIBRAMIENTO EXTRAORDINARIO DE FONDOS, DESTINADAS A SUFRAGAR LAS ACCIONES PROPUESTAS POR LA COMISIÓN DE DISTRITO DEL PROGRAMA DE APRENDIZAJE INTEGRADO DE CONTENIDOS Y LENGUAS EXTRANJERAS (AICLE), DENTRO DE LA ORGANIZACIÓN Y DESARROLLO DE LAS ACCIONES, PROGRAMAS Y PROYECTOS IMPLEMENTADOS DESDE EL ÁREA DE PLURILINGÜISMO Y EDUCACIÓN INTERCULTURAL, DEL SERVICIO DE ORDENACIÓN DE LAS ENSEÑANZAS, DURANTE EL EJERCICIO 2025. </dc:description>
  <cp:lastModifiedBy>Ernesto Serrano</cp:lastModifiedBy>
  <cp:revision>55</cp:revision>
  <cp:lastPrinted>2025-07-29T13:50:00Z</cp:lastPrinted>
  <dcterms:created xsi:type="dcterms:W3CDTF">2023-08-01T08:14:00Z</dcterms:created>
  <dcterms:modified xsi:type="dcterms:W3CDTF">2025-10-15T08:22:00Z</dcterms:modified>
  <dc:language>es-ES</dc:language>
</cp:coreProperties>
</file>