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ageBreakBefore w:val="false"/>
        <w:spacing w:lineRule="auto" w:line="276" w:before="0" w:after="0"/>
        <w:jc w:val="both"/>
        <w:rPr>
          <w:rFonts w:ascii="Times New Roman" w:hAnsi="Times New Roman" w:eastAsia="SimSun;宋体" w:cs="Mangal;Courier New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SimSun;宋体" w:cs="Mangal;Courier New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  <w:t>[title]</w:t>
      </w:r>
    </w:p>
    <w:p>
      <w:pPr>
        <w:pStyle w:val="BodyText"/>
        <w:spacing w:lineRule="auto" w:line="276"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Rule="auto" w:line="276" w:before="0" w:after="0"/>
        <w:jc w:val="both"/>
        <w:rPr>
          <w:rFonts w:ascii="Times New Roman" w:hAnsi="Times New Roman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[objeto], y de acuerdo con los siguientes:</w:t>
      </w:r>
    </w:p>
    <w:p>
      <w:pPr>
        <w:pStyle w:val="BodyText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pacing w:lineRule="auto" w:line="276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ANTECEDENTES DE HECHO</w:t>
      </w:r>
    </w:p>
    <w:p>
      <w:pPr>
        <w:pStyle w:val="Normal"/>
        <w:widowControl w:val="false"/>
        <w:pBdr/>
        <w:spacing w:lineRule="auto" w:line="276" w:before="0" w:after="0"/>
        <w:ind w:hanging="0" w:start="0" w:end="0"/>
        <w:jc w:val="center"/>
        <w:rPr>
          <w:b w:val="false"/>
          <w:bCs w:val="false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spacing w:lineRule="auto" w:line="276" w:before="58" w:after="58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auto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hi-IN"/>
        </w:rPr>
        <w:t>[antecedentes]</w:t>
      </w:r>
    </w:p>
    <w:p>
      <w:pPr>
        <w:pStyle w:val="Normal"/>
        <w:spacing w:lineRule="auto" w:line="276" w:before="1" w:after="1"/>
        <w:jc w:val="both"/>
        <w:rPr>
          <w:rFonts w:eastAsia="Times New Roman" w:cs="Times New Roman"/>
          <w:b w:val="false"/>
          <w:bCs w:val="false"/>
          <w:caps w:val="false"/>
          <w:smallCaps w:val="false"/>
          <w:strike w:val="false"/>
          <w:dstrike w:val="false"/>
          <w:color w:val="auto"/>
          <w:kern w:val="2"/>
          <w:position w:val="0"/>
          <w:sz w:val="20"/>
          <w:u w:val="none"/>
          <w:shd w:fill="auto" w:val="clear"/>
          <w:vertAlign w:val="baseline"/>
          <w:lang w:val="es-ES" w:eastAsia="zh-CN" w:bidi="hi-IN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ind w:hanging="0" w:start="0" w:end="283"/>
        <w:jc w:val="center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FUNDAMENTOS DE DERECHO</w:t>
      </w:r>
    </w:p>
    <w:p>
      <w:pPr>
        <w:pStyle w:val="Normal"/>
        <w:widowControl w:val="false"/>
        <w:spacing w:lineRule="auto" w:line="276" w:before="0" w:after="0"/>
        <w:ind w:hanging="0" w:start="0" w:end="283"/>
        <w:jc w:val="both"/>
        <w:rPr>
          <w:b/>
        </w:rPr>
      </w:pPr>
      <w:r>
        <w:rPr>
          <w:sz w:val="24"/>
          <w:szCs w:val="24"/>
        </w:rPr>
      </w:r>
    </w:p>
    <w:p>
      <w:pPr>
        <w:pStyle w:val="BodyText"/>
        <w:spacing w:lineRule="auto" w:line="276" w:before="0" w:after="0"/>
        <w:jc w:val="both"/>
        <w:rPr>
          <w:rFonts w:ascii="Times New Roman" w:hAnsi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[fundamentos]</w:t>
      </w:r>
    </w:p>
    <w:p>
      <w:pPr>
        <w:pStyle w:val="BodyText"/>
        <w:spacing w:lineRule="auto" w:line="276" w:before="0" w:after="0"/>
        <w:jc w:val="both"/>
        <w:rPr>
          <w:rFonts w:cs="Times New Roman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0"/>
          <w:u w:val="none"/>
          <w:shd w:fill="auto" w:val="clear"/>
          <w:vertAlign w:val="baseline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SimSun;宋体" w:cs="Mangal;Courier New"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s-ES" w:eastAsia="zh-CN" w:bidi="hi-IN"/>
        </w:rPr>
      </w:pPr>
      <w:r>
        <w:rPr>
          <w:rFonts w:eastAsia="SimSun;宋体" w:cs="Mangal;Courier New"/>
          <w:b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s-ES" w:eastAsia="zh-CN" w:bidi="hi-IN"/>
        </w:rPr>
        <w:t>RESUELVO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SimSun;宋体" w:cs="Mangal;Courier New"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s-ES" w:eastAsia="zh-CN" w:bidi="hi-IN"/>
        </w:rPr>
      </w:pPr>
      <w:r>
        <w:rPr>
          <w:rFonts w:eastAsia="SimSun;宋体" w:cs="Mangal;Courier New"/>
          <w:b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s-ES" w:eastAsia="zh-CN" w:bidi="hi-IN"/>
        </w:rPr>
      </w:r>
    </w:p>
    <w:p>
      <w:pPr>
        <w:pStyle w:val="BodyText"/>
        <w:spacing w:lineRule="auto" w:line="276" w:before="0" w:after="0"/>
        <w:jc w:val="both"/>
        <w:rPr>
          <w:rFonts w:ascii="Times New Roman" w:hAnsi="Times New Roman" w:eastAsia="SimSun;宋体" w:cs="Mangal;Courier New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s-ES" w:eastAsia="zh-CN" w:bidi="hi-IN"/>
        </w:rPr>
      </w:pPr>
      <w:r>
        <w:rPr>
          <w:rFonts w:eastAsia="SimSun;宋体" w:cs="Mangal;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s-ES" w:eastAsia="zh-CN" w:bidi="hi-IN"/>
        </w:rPr>
        <w:t>[dispositivo]</w:t>
      </w:r>
    </w:p>
    <w:p>
      <w:pPr>
        <w:pStyle w:val="Normal"/>
        <w:spacing w:lineRule="auto" w:line="276" w:before="0" w:after="0"/>
        <w:ind w:hanging="0" w:start="0" w:end="0"/>
        <w:jc w:val="both"/>
        <w:rPr>
          <w:b w:val="false"/>
          <w:bCs w:val="false"/>
        </w:rPr>
      </w:pPr>
      <w:r>
        <w:rPr>
          <w:sz w:val="24"/>
          <w:szCs w:val="24"/>
        </w:rPr>
      </w:r>
    </w:p>
    <w:p>
      <w:pPr>
        <w:pStyle w:val="BodyText"/>
        <w:widowControl/>
        <w:pBdr/>
        <w:suppressAutoHyphens w:val="true"/>
        <w:bidi w:val="0"/>
        <w:spacing w:lineRule="auto" w:line="276" w:before="0" w:after="0"/>
        <w:ind w:hanging="0" w:start="0" w:end="0"/>
        <w:jc w:val="both"/>
        <w:textAlignment w:val="auto"/>
        <w:rPr>
          <w:rFonts w:ascii="Times New Roman" w:hAnsi="Times New Roman"/>
          <w:b/>
          <w:bCs/>
          <w:sz w:val="22"/>
          <w:szCs w:val="22"/>
        </w:rPr>
      </w:pPr>
      <w:r>
        <w:rPr>
          <w:rStyle w:val="Fuentedeprrafopredeter"/>
          <w:rFonts w:eastAsia="Times;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s-ES" w:eastAsia="zh-CN" w:bidi="ar-SA"/>
        </w:rPr>
        <w:t>EL DIRECTOR GENERAL DE ORDENACIÓN DE LAS ENSEÑANZAS, INCLUSIÓN E INNOVACIÓN</w:t>
      </w:r>
    </w:p>
    <w:p>
      <w:pPr>
        <w:pStyle w:val="Normal"/>
        <w:widowControl/>
        <w:pBdr/>
        <w:suppressAutoHyphens w:val="true"/>
        <w:kinsoku w:val="true"/>
        <w:overflowPunct w:val="true"/>
        <w:autoSpaceDE w:val="false"/>
        <w:bidi w:val="0"/>
        <w:spacing w:lineRule="auto" w:line="276" w:before="0" w:after="0"/>
        <w:ind w:hanging="0" w:start="0" w:end="0"/>
        <w:jc w:val="both"/>
        <w:textAlignment w:val="auto"/>
        <w:rPr>
          <w:rFonts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0"/>
          <w:u w:val="none"/>
          <w:shd w:fill="auto" w:val="clear"/>
          <w:vertAlign w:val="baseline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u w:val="none"/>
          <w:vertAlign w:val="baseline"/>
        </w:rPr>
      </w:pPr>
      <w:r>
        <w:rPr>
          <w:b/>
          <w:sz w:val="24"/>
          <w:szCs w:val="24"/>
        </w:rPr>
      </w:r>
    </w:p>
    <w:p>
      <w:pPr>
        <w:pStyle w:val="Normal"/>
        <w:keepNext w:val="false"/>
        <w:keepLines w:val="false"/>
        <w:pBdr/>
        <w:spacing w:lineRule="auto" w:line="276" w:before="0" w:after="0"/>
        <w:ind w:hanging="0" w:start="360" w:end="352"/>
        <w:jc w:val="center"/>
        <w:rPr>
          <w:rFonts w:ascii="Times New Roman" w:hAnsi="Times New Roman" w:eastAsia="Times New Roman" w:cs="Times New Roman"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Anexo I </w:t>
      </w:r>
    </w:p>
    <w:p>
      <w:pPr>
        <w:pStyle w:val="Normal"/>
        <w:pageBreakBefore w:val="false"/>
        <w:spacing w:lineRule="auto" w:line="276" w:before="0" w:after="0"/>
        <w:jc w:val="center"/>
        <w:rPr>
          <w:rFonts w:ascii="Times New Roman" w:hAnsi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PROVINCIA DE SANTA CRUZ DE TENERIFE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tbl>
      <w:tblPr>
        <w:tblW w:w="9358" w:type="dxa"/>
        <w:jc w:val="start"/>
        <w:tblInd w:w="-7" w:type="dxa"/>
        <w:tblLayout w:type="fixed"/>
        <w:tblCellMar>
          <w:top w:w="55" w:type="dxa"/>
          <w:start w:w="113" w:type="dxa"/>
          <w:bottom w:w="55" w:type="dxa"/>
          <w:end w:w="108" w:type="dxa"/>
        </w:tblCellMar>
      </w:tblPr>
      <w:tblGrid>
        <w:gridCol w:w="4995"/>
        <w:gridCol w:w="2205"/>
        <w:gridCol w:w="2158"/>
      </w:tblGrid>
      <w:tr>
        <w:trPr>
          <w:trHeight w:val="567" w:hRule="exact"/>
        </w:trPr>
        <w:tc>
          <w:tcPr>
            <w:tcW w:w="4995" w:type="dxa"/>
            <w:tcBorders>
              <w:top w:val="double" w:sz="2" w:space="0" w:color="78909C"/>
              <w:start w:val="double" w:sz="2" w:space="0" w:color="78909C"/>
              <w:bottom w:val="double" w:sz="2" w:space="0" w:color="78909C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CENTRO</w:t>
            </w:r>
          </w:p>
        </w:tc>
        <w:tc>
          <w:tcPr>
            <w:tcW w:w="2205" w:type="dxa"/>
            <w:tcBorders>
              <w:top w:val="double" w:sz="2" w:space="0" w:color="78909C"/>
              <w:start w:val="double" w:sz="2" w:space="0" w:color="78909C"/>
              <w:bottom w:val="double" w:sz="2" w:space="0" w:color="78909C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2158" w:type="dxa"/>
            <w:tcBorders>
              <w:top w:val="double" w:sz="2" w:space="0" w:color="78909C"/>
              <w:start w:val="double" w:sz="2" w:space="0" w:color="78909C"/>
              <w:bottom w:val="double" w:sz="2" w:space="0" w:color="78909C"/>
              <w:end w:val="double" w:sz="2" w:space="0" w:color="78909C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IMPORTE</w:t>
            </w:r>
          </w:p>
        </w:tc>
      </w:tr>
      <w:tr>
        <w:trPr>
          <w:trHeight w:val="567" w:hRule="exact"/>
        </w:trPr>
        <w:tc>
          <w:tcPr>
            <w:tcW w:w="4995" w:type="dxa"/>
            <w:tcBorders>
              <w:start w:val="double" w:sz="2" w:space="0" w:color="78909C"/>
              <w:bottom w:val="double" w:sz="2" w:space="0" w:color="78909C"/>
            </w:tcBorders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CEP Santa Cruz de Tenerife</w:t>
            </w:r>
          </w:p>
        </w:tc>
        <w:tc>
          <w:tcPr>
            <w:tcW w:w="2205" w:type="dxa"/>
            <w:tcBorders>
              <w:start w:val="double" w:sz="2" w:space="0" w:color="78909C"/>
              <w:bottom w:val="double" w:sz="2" w:space="0" w:color="78909C"/>
            </w:tcBorders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38706050</w:t>
            </w:r>
          </w:p>
        </w:tc>
        <w:tc>
          <w:tcPr>
            <w:tcW w:w="2158" w:type="dxa"/>
            <w:tcBorders>
              <w:start w:val="double" w:sz="2" w:space="0" w:color="78909C"/>
              <w:bottom w:val="double" w:sz="2" w:space="0" w:color="78909C"/>
              <w:end w:val="double" w:sz="2" w:space="0" w:color="78909C"/>
            </w:tcBorders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8 .40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,3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567" w:hRule="exact"/>
        </w:trPr>
        <w:tc>
          <w:tcPr>
            <w:tcW w:w="499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05" w:type="dxa"/>
            <w:tcBorders>
              <w:top w:val="double" w:sz="2" w:space="0" w:color="78909C"/>
              <w:start w:val="double" w:sz="2" w:space="0" w:color="78909C"/>
              <w:bottom w:val="double" w:sz="2" w:space="0" w:color="78909C"/>
              <w:end w:val="double" w:sz="2" w:space="0" w:color="78909C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58" w:type="dxa"/>
            <w:tcBorders>
              <w:top w:val="double" w:sz="2" w:space="0" w:color="78909C"/>
              <w:start w:val="double" w:sz="2" w:space="0" w:color="78909C"/>
              <w:bottom w:val="double" w:sz="2" w:space="0" w:color="78909C"/>
              <w:end w:val="double" w:sz="2" w:space="0" w:color="78909C"/>
            </w:tcBorders>
            <w:vAlign w:val="center"/>
          </w:tcPr>
          <w:p>
            <w:pPr>
              <w:pStyle w:val="TableContents"/>
              <w:spacing w:lineRule="auto" w:lin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8 .40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</w:tbl>
    <w:p>
      <w:pPr>
        <w:pStyle w:val="Normal"/>
        <w:pBdr/>
        <w:spacing w:lineRule="auto" w:line="276" w:before="0" w:after="0"/>
        <w:ind w:hanging="0" w:start="360" w:end="352"/>
        <w:jc w:val="both"/>
        <w:rPr>
          <w:bCs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pBdr/>
        <w:spacing w:lineRule="auto" w:line="276" w:before="0" w:after="0"/>
        <w:ind w:hanging="0" w:start="360" w:end="352"/>
        <w:jc w:val="center"/>
        <w:rPr>
          <w:bCs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10795</wp:posOffset>
                </wp:positionH>
                <wp:positionV relativeFrom="paragraph">
                  <wp:posOffset>83820</wp:posOffset>
                </wp:positionV>
                <wp:extent cx="6029960" cy="14605"/>
                <wp:effectExtent l="3810" t="3810" r="3810" b="3810"/>
                <wp:wrapNone/>
                <wp:docPr id="1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30000" cy="1476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5pt,6.6pt" to="475.6pt,7.7pt" ID="Forma2_0" stroked="t" o:allowincell="f" style="position:absolute;flip:y">
                <v:stroke color="black" weight="68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pBdr/>
        <w:spacing w:lineRule="auto" w:line="276" w:before="0" w:after="0"/>
        <w:ind w:hanging="0" w:start="360" w:end="352"/>
        <w:jc w:val="center"/>
        <w:rPr>
          <w:rFonts w:ascii="Times New Roman" w:hAnsi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cs="Times New Roman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widowControl/>
        <w:pBdr/>
        <w:suppressAutoHyphens w:val="true"/>
        <w:kinsoku w:val="true"/>
        <w:overflowPunct w:val="true"/>
        <w:autoSpaceDE w:val="false"/>
        <w:bidi w:val="0"/>
        <w:spacing w:lineRule="auto" w:line="240" w:before="0" w:after="0"/>
        <w:ind w:hanging="0" w:start="0" w:end="0"/>
        <w:jc w:val="both"/>
        <w:textAlignment w:val="auto"/>
        <w:rPr/>
      </w:pPr>
      <w:r>
        <w:rPr>
          <w:rStyle w:val="Fuentedeprrafopredeter"/>
          <w:rFonts w:eastAsia="SimSun;宋体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w w:val="100"/>
          <w:kern w:val="2"/>
          <w:sz w:val="24"/>
          <w:szCs w:val="24"/>
          <w:u w:val="none"/>
          <w:shd w:fill="auto" w:val="clear"/>
          <w:lang w:val="es-ES" w:eastAsia="zh-CN" w:bidi="hi-IN"/>
        </w:rPr>
        <w:t xml:space="preserve">Este acto administrativo ha sido PROPUESTO de conformidad con lo establecido en el Art. 27.1 a) del </w:t>
      </w:r>
      <w:r>
        <w:rPr>
          <w:rFonts w:cs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 xml:space="preserve">Decreto 212/1991, de 11 de septiembre, de Organización de los Departamentos de la Administración Autonómica de Canarias, </w:t>
      </w:r>
      <w:r>
        <w:rPr>
          <w:rFonts w:cs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por:</w:t>
      </w:r>
    </w:p>
    <w:p>
      <w:pPr>
        <w:pStyle w:val="BodyText"/>
        <w:spacing w:lineRule="auto" w:line="276" w:before="0" w:after="0"/>
        <w:jc w:val="both"/>
        <w:rPr>
          <w:rFonts w:ascii="Times New Roman" w:hAnsi="Times New Roman" w:cs="Times New Roman"/>
          <w:b w:val="false"/>
          <w:bCs w:val="false"/>
          <w:color w:val="auto"/>
          <w:spacing w:val="0"/>
          <w:shd w:fill="auto" w:val="clear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/>
          <w:sz w:val="22"/>
          <w:szCs w:val="22"/>
        </w:rPr>
      </w:pPr>
      <w:r>
        <w:rPr>
          <w:rStyle w:val="Fuentedeprrafopredeter"/>
          <w:rFonts w:eastAsia="SimSun;宋体"/>
          <w:b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  <w:lang w:eastAsia="zh-CN" w:bidi="hi-IN"/>
        </w:rPr>
        <w:t xml:space="preserve">EL RESPONSABLE DEL SERVICIO </w:t>
      </w:r>
      <w:r>
        <w:rPr>
          <w:rStyle w:val="Fuentedeprrafopredeter"/>
          <w:rFonts w:eastAsia="SimSun;宋体"/>
          <w:b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  <w:lang w:eastAsia="zh-CN" w:bidi="hi-IN"/>
        </w:rPr>
        <w:t>DE ORDENACIÓN</w:t>
      </w:r>
    </w:p>
    <w:p>
      <w:pPr>
        <w:pStyle w:val="Normal"/>
        <w:spacing w:lineRule="auto" w:line="276" w:before="0" w:after="0"/>
        <w:jc w:val="both"/>
        <w:rPr>
          <w:rFonts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u w:val="none"/>
          <w:vertAlign w:val="baseline"/>
        </w:rPr>
      </w:pPr>
      <w:r>
        <w:rPr>
          <w:sz w:val="22"/>
          <w:szCs w:val="22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1" w:gutter="0" w:header="1276" w:top="3119" w:footer="2268" w:bottom="241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Trebuchet M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Univers LT Std 45 Light">
    <w:charset w:val="01" w:characterSet="utf-8"/>
    <w:family w:val="roman"/>
    <w:pitch w:val="variable"/>
  </w:font>
  <w:font w:name="Univers 45 Light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ascii="Univers 45 Light" w:hAnsi="Univers 45 Light" w:cs="Univers 45 Light"/>
        <w:szCs w:val="20"/>
      </w:rPr>
    </w:pPr>
    <w:r>
      <w:rPr>
        <w:rFonts w:cs="Univers 45 Light" w:ascii="Univers 45 Light" w:hAnsi="Univers 45 Light"/>
        <w:szCs w:val="20"/>
      </w:rPr>
      <w:fldChar w:fldCharType="begin"/>
    </w:r>
    <w:r>
      <w:rPr>
        <w:szCs w:val="20"/>
        <w:rFonts w:cs="Univers 45 Light" w:ascii="Univers 45 Light" w:hAnsi="Univers 45 Light"/>
      </w:rPr>
      <w:instrText xml:space="preserve"> PAGE </w:instrText>
    </w:r>
    <w:r>
      <w:rPr>
        <w:szCs w:val="20"/>
        <w:rFonts w:cs="Univers 45 Light" w:ascii="Univers 45 Light" w:hAnsi="Univers 45 Light"/>
      </w:rPr>
      <w:fldChar w:fldCharType="separate"/>
    </w:r>
    <w:r>
      <w:rPr>
        <w:szCs w:val="20"/>
        <w:rFonts w:cs="Univers 45 Light" w:ascii="Univers 45 Light" w:hAnsi="Univers 45 Light"/>
      </w:rPr>
      <w:t>2</w:t>
    </w:r>
    <w:r>
      <w:rPr>
        <w:szCs w:val="20"/>
        <w:rFonts w:cs="Univers 45 Light" w:ascii="Univers 45 Light" w:hAnsi="Univers 45 Light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>
        <w:rFonts w:ascii="Calibri Light" w:hAnsi="Calibri Light" w:cs="Calibri Light"/>
      </w:rPr>
    </w:pPr>
    <w:r>
      <w:rPr>
        <w:rFonts w:cs="Calibri Light" w:ascii="Calibri Light" w:hAnsi="Calibri Light"/>
      </w:rPr>
      <w:fldChar w:fldCharType="begin"/>
    </w:r>
    <w:r>
      <w:rPr>
        <w:rFonts w:cs="Calibri Light" w:ascii="Calibri Light" w:hAnsi="Calibri Light"/>
      </w:rPr>
      <w:instrText xml:space="preserve"> PAGE </w:instrText>
    </w:r>
    <w:r>
      <w:rPr>
        <w:rFonts w:cs="Calibri Light" w:ascii="Calibri Light" w:hAnsi="Calibri Light"/>
      </w:rPr>
      <w:fldChar w:fldCharType="separate"/>
    </w:r>
    <w:r>
      <w:rPr>
        <w:rFonts w:cs="Calibri Light" w:ascii="Calibri Light" w:hAnsi="Calibri Light"/>
      </w:rPr>
      <w:t>1</w:t>
    </w:r>
    <w:r>
      <w:rPr>
        <w:rFonts w:cs="Calibri Light" w:ascii="Calibri Light" w:hAnsi="Calibri Light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drawing>
        <wp:inline distT="0" distB="0" distL="0" distR="0">
          <wp:extent cx="285750" cy="541020"/>
          <wp:effectExtent l="0" t="0" r="0" b="0"/>
          <wp:docPr id="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left" w:pos="708" w:leader="none"/>
        <w:tab w:val="left" w:pos="1860" w:leader="none"/>
        <w:tab w:val="left" w:pos="3492" w:leader="none"/>
      </w:tabs>
      <w:rPr>
        <w:rFonts w:ascii="Calibri" w:hAnsi="Calibri" w:cs="Calibri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-437515</wp:posOffset>
          </wp:positionH>
          <wp:positionV relativeFrom="paragraph">
            <wp:posOffset>60960</wp:posOffset>
          </wp:positionV>
          <wp:extent cx="3492500" cy="774700"/>
          <wp:effectExtent l="0" t="0" r="0" b="0"/>
          <wp:wrapNone/>
          <wp:docPr id="3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92500" cy="774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45720" distB="45085" distL="114300" distR="120650" simplePos="0" locked="0" layoutInCell="0" allowOverlap="1" relativeHeight="4">
              <wp:simplePos x="0" y="0"/>
              <wp:positionH relativeFrom="column">
                <wp:posOffset>-882015</wp:posOffset>
              </wp:positionH>
              <wp:positionV relativeFrom="paragraph">
                <wp:posOffset>-810260</wp:posOffset>
              </wp:positionV>
              <wp:extent cx="566420" cy="10691495"/>
              <wp:effectExtent l="0" t="635" r="0" b="0"/>
              <wp:wrapSquare wrapText="bothSides"/>
              <wp:docPr id="4" name="Cuadro de text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6280" cy="1069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bookmarkStart w:id="0" w:name="__DdeLink__1949_740795211"/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 xml:space="preserve">Avenida Buenos Aires 3-5, Edificio 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>Usos Múltiples III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>, 4ª planta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 xml:space="preserve">  | CP 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 xml:space="preserve">38071 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 xml:space="preserve">Santa Cruz de Tenerife  |  Tfno: 922 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>42 35 00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 xml:space="preserve">  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/>
                          </w:pP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>Calle Granadera Canaria 2, Edificio Granadera Canaria, 1ª planta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 xml:space="preserve">  |  CP 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>35071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 xml:space="preserve"> Las Palmas de Gran Canaria  |  Tfno: 928 </w:t>
                          </w:r>
                          <w:r>
                            <w:rPr>
                              <w:rFonts w:eastAsia="Times New Roman" w:cs="Times New Roman" w:ascii="Univers LT Std 45 Light" w:hAnsi="Univers LT Std 45 Light"/>
                              <w:color w:val="000000"/>
                              <w:kern w:val="0"/>
                              <w:sz w:val="15"/>
                              <w:szCs w:val="15"/>
                              <w:lang w:eastAsia="es-ES" w:bidi="ar-SA"/>
                            </w:rPr>
                            <w:t>45 54 00</w:t>
                          </w:r>
                          <w:bookmarkEnd w:id="0"/>
                        </w:p>
                      </w:txbxContent>
                    </wps:txbx>
                    <wps:bodyPr anchor="t" rot="1620000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5" path="m0,0l-2147483645,0l-2147483645,-2147483646l0,-2147483646xe" fillcolor="white" stroked="f" o:allowincell="f" style="position:absolute;margin-left:-69.45pt;margin-top:-63.8pt;width:44.55pt;height:841.8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jc w:val="center"/>
                      <w:rPr/>
                    </w:pPr>
                    <w:bookmarkStart w:id="1" w:name="__DdeLink__1949_740795211"/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 xml:space="preserve">Avenida Buenos Aires 3-5, Edificio 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>Usos Múltiples III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>, 4ª planta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 xml:space="preserve">  | CP 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 xml:space="preserve">38071 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 xml:space="preserve">Santa Cruz de Tenerife  |  Tfno: 922 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>42 35 00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 xml:space="preserve">  </w:t>
                    </w:r>
                  </w:p>
                  <w:p>
                    <w:pPr>
                      <w:pStyle w:val="FrameContents"/>
                      <w:jc w:val="center"/>
                      <w:rPr/>
                    </w:pP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>Calle Granadera Canaria 2, Edificio Granadera Canaria, 1ª planta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 xml:space="preserve">  |  CP 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>35071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 xml:space="preserve"> Las Palmas de Gran Canaria  |  Tfno: 928 </w:t>
                    </w:r>
                    <w:r>
                      <w:rPr>
                        <w:rFonts w:eastAsia="Times New Roman" w:cs="Times New Roman" w:ascii="Univers LT Std 45 Light" w:hAnsi="Univers LT Std 45 Light"/>
                        <w:color w:val="000000"/>
                        <w:kern w:val="0"/>
                        <w:sz w:val="15"/>
                        <w:szCs w:val="15"/>
                        <w:lang w:eastAsia="es-ES" w:bidi="ar-SA"/>
                      </w:rPr>
                      <w:t>45 54 00</w:t>
                    </w:r>
                    <w:bookmarkEnd w:id="1"/>
                  </w:p>
                </w:txbxContent>
              </v:textbox>
              <w10:wrap type="square"/>
            </v:rect>
          </w:pict>
        </mc:Fallback>
      </mc:AlternateContent>
    </w:r>
    <w:r>
      <w:rPr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34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27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Direcciones.dbo.Hoja1$"/>
  </w:mailMerge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lang w:val="es-ES" w:eastAsia="es-E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es-ES"/>
    </w:rPr>
  </w:style>
  <w:style w:type="paragraph" w:styleId="Heading1">
    <w:name w:val="heading 1"/>
    <w:basedOn w:val="Standard"/>
    <w:next w:val="Standard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bCs/>
      <w:smallCaps/>
      <w:color w:val="003366"/>
      <w:sz w:val="28"/>
      <w:szCs w:val="32"/>
    </w:rPr>
  </w:style>
  <w:style w:type="paragraph" w:styleId="Heading2">
    <w:name w:val="heading 2"/>
    <w:basedOn w:val="Standard"/>
    <w:next w:val="Standard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Cs/>
      <w:smallCaps/>
      <w:color w:val="003366"/>
      <w:szCs w:val="28"/>
    </w:rPr>
  </w:style>
  <w:style w:type="paragraph" w:styleId="Heading3">
    <w:name w:val="heading 3"/>
    <w:basedOn w:val="Standard"/>
    <w:next w:val="Standard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color w:val="003366"/>
      <w:szCs w:val="26"/>
    </w:rPr>
  </w:style>
  <w:style w:type="paragraph" w:styleId="Heading4">
    <w:name w:val="heading 4"/>
    <w:basedOn w:val="Standard"/>
    <w:next w:val="Standard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Trebuchet MS" w:hAnsi="Trebuchet MS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Trebuchet MS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PageNumber">
    <w:name w:val="page number"/>
    <w:basedOn w:val="DefaultParagraphFont"/>
    <w:qFormat/>
    <w:rPr/>
  </w:style>
  <w:style w:type="character" w:styleId="Ttulo1Car">
    <w:name w:val="Título 1 Car"/>
    <w:qFormat/>
    <w:rPr>
      <w:rFonts w:ascii="Arial" w:hAnsi="Arial" w:cs="Arial"/>
      <w:b/>
      <w:bCs/>
      <w:smallCaps/>
      <w:color w:val="003366"/>
      <w:kern w:val="2"/>
      <w:sz w:val="28"/>
      <w:szCs w:val="32"/>
      <w:lang w:val="es-ES" w:bidi="ar-SA"/>
    </w:rPr>
  </w:style>
  <w:style w:type="character" w:styleId="Internetlink">
    <w:name w:val="Internet link"/>
    <w:qFormat/>
    <w:rPr>
      <w:color w:val="0000FF"/>
      <w:u w:val="single"/>
    </w:rPr>
  </w:style>
  <w:style w:type="character" w:styleId="verdana">
    <w:name w:val="verdana"/>
    <w:basedOn w:val="DefaultParagraphFont"/>
    <w:qFormat/>
    <w:rPr/>
  </w:style>
  <w:style w:type="character" w:styleId="SinespaciadoCar">
    <w:name w:val="Sin espaciado Car"/>
    <w:qFormat/>
    <w:rPr>
      <w:rFonts w:ascii="Calibri" w:hAnsi="Calibri" w:eastAsia="Calibri" w:cs="Calibri"/>
      <w:sz w:val="22"/>
      <w:szCs w:val="22"/>
      <w:lang w:val="es-ES" w:bidi="ar-SA"/>
    </w:rPr>
  </w:style>
  <w:style w:type="character" w:styleId="PiedepginaCar">
    <w:name w:val="Pie de página Car"/>
    <w:qFormat/>
    <w:rPr>
      <w:rFonts w:ascii="Arial" w:hAnsi="Arial" w:cs="Arial"/>
      <w:szCs w:val="24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Fuentedeprrafopredeter">
    <w:name w:val="Fuente de párrafo predeter.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Standard"/>
    <w:next w:val="Textbody"/>
    <w:qFormat/>
    <w:pPr>
      <w:keepNext w:val="true"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Arial" w:hAnsi="Arial" w:eastAsia="Times New Roman" w:cs="Arial"/>
      <w:color w:val="auto"/>
      <w:kern w:val="2"/>
      <w:sz w:val="20"/>
      <w:szCs w:val="24"/>
      <w:lang w:eastAsia="zh-CN" w:val="es-ES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ListParagraph">
    <w:name w:val="List Paragraph"/>
    <w:basedOn w:val="Standard"/>
    <w:qFormat/>
    <w:pPr>
      <w:ind w:hanging="0" w:start="708" w:end="0"/>
    </w:pPr>
    <w:rPr/>
  </w:style>
  <w:style w:type="paragraph" w:styleId="justificado">
    <w:name w:val="justificado"/>
    <w:basedOn w:val="Standard"/>
    <w:qFormat/>
    <w:pPr>
      <w:spacing w:before="280" w:after="280"/>
    </w:pPr>
    <w:rPr>
      <w:rFonts w:ascii="Times New Roman" w:hAnsi="Times New Roman" w:cs="Times New Roman"/>
      <w:sz w:val="24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Calibri" w:hAnsi="Calibri" w:eastAsia="Calibri" w:cs="Calibri"/>
      <w:color w:val="auto"/>
      <w:kern w:val="2"/>
      <w:sz w:val="22"/>
      <w:szCs w:val="22"/>
      <w:lang w:eastAsia="zh-CN" w:val="es-ES" w:bidi="ar-SA"/>
    </w:rPr>
  </w:style>
  <w:style w:type="paragraph" w:styleId="BalloonText">
    <w:name w:val="Balloon Text"/>
    <w:basedOn w:val="Standard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widowControl/>
      <w:suppressAutoHyphens w:val="false"/>
      <w:spacing w:before="280" w:after="119"/>
      <w:textAlignment w:val="auto"/>
    </w:pPr>
    <w:rPr>
      <w:rFonts w:eastAsia="Times New Roman" w:cs="Times New Roman"/>
      <w:kern w:val="0"/>
      <w:lang w:eastAsia="es-ES" w:bidi="ar-SA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hoja_a4.dotx</Template>
  <TotalTime>735</TotalTime>
  <Application>LibreOffice/25.8.1.1$MacOSX_AARCH64 LibreOffice_project/54047653041915e595ad4e45cccea684809c77b5</Application>
  <AppVersion>15.0000</AppVersion>
  <Pages>2</Pages>
  <Words>140</Words>
  <Characters>728</Characters>
  <CharactersWithSpaces>856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2023-08-01T08:14:21Z</dcterms:created>
  <dc:creator/>
  <dc:description>PROPUESTA- RESOLUCIÓN DE LA DIRECCIÓN GENERAL DE ORDENACIÓN DE LAS ENSEÑANZAS, INCLUSIÓN E INNOVACIÓN POR LA QUE SE ASIGNAN DOTACIONES ECONÓMICAS EXTRAORDINARIAS, Y SE AUTORIZA Y ORDENA EL CORRESPONDIENTE LIBRAMIENTO EXTRAORDINARIO DE FONDOS, DESTINADAS A SUFRAGAR LAS ACCIONES PROPUESTAS POR LA COMISIÓN DE DISTRITO DEL PROGRAMA DE APRENDIZAJE INTEGRADO DE CONTENIDOS Y LENGUAS EXTRANJERAS (AICLE), DENTRO DE LA ORGANIZACIÓN Y DESARROLLO DE LAS ACCIONES, PROGRAMAS Y PROYECTOS IMPLEMENTADOS DESDE EL ÁREA DE PLURILINGÜISMO Y EDUCACIÓN INTERCULTURAL, DEL SERVICIO DE ORDENACIÓN DE LAS ENSEÑANZAS, DURANTE EL EJERCICIO 2025. </dc:description>
  <cp:keywords>plurilingüismo lenguas extranjeras libramientos extraordinario plei consejería de educación actividad física y deportes</cp:keywords>
  <dc:language>es-ES</dc:language>
  <cp:lastModifiedBy/>
  <cp:lastPrinted>2025-07-29T13:50:11Z</cp:lastPrinted>
  <dcterms:modified xsi:type="dcterms:W3CDTF">2025-09-24T23:09:10Z</dcterms:modified>
  <cp:revision>51</cp:revision>
  <dc:subject>Resolución de libramiento de fondos extraordinarios para los centros participantes en Distrito AICLE</dc:subject>
  <dc:title>Resolución de libramiento de fondos extraordinarios para los centros participantes en Distrito AICLE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