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EC01C5"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EC01C5"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EC01C5"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EC01C5"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EC01C5"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EC01C5"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EC01C5"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EC01C5"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1E70B1E" w:rsidR="00531FBF" w:rsidRPr="001650C9" w:rsidRDefault="00F75032" w:rsidP="00944D65">
            <w:pPr>
              <w:suppressAutoHyphens/>
              <w:spacing w:after="0" w:line="240" w:lineRule="auto"/>
              <w:contextualSpacing/>
              <w:jc w:val="center"/>
              <w:rPr>
                <w:rFonts w:eastAsia="Times New Roman" w:cstheme="minorHAnsi"/>
                <w:b/>
                <w:bCs/>
              </w:rPr>
            </w:pPr>
            <w:r>
              <w:rPr>
                <w:rFonts w:eastAsia="Times New Roman" w:cstheme="minorHAnsi"/>
                <w:b/>
                <w:bCs/>
              </w:rPr>
              <w:t>03/28/2021</w:t>
            </w:r>
          </w:p>
        </w:tc>
        <w:tc>
          <w:tcPr>
            <w:tcW w:w="2338" w:type="dxa"/>
            <w:tcMar>
              <w:left w:w="115" w:type="dxa"/>
              <w:right w:w="115" w:type="dxa"/>
            </w:tcMar>
          </w:tcPr>
          <w:p w14:paraId="07699096" w14:textId="28B67E01" w:rsidR="00531FBF" w:rsidRPr="001650C9" w:rsidRDefault="00F75032" w:rsidP="00944D65">
            <w:pPr>
              <w:suppressAutoHyphens/>
              <w:spacing w:after="0" w:line="240" w:lineRule="auto"/>
              <w:contextualSpacing/>
              <w:jc w:val="center"/>
              <w:rPr>
                <w:rFonts w:eastAsia="Times New Roman" w:cstheme="minorHAnsi"/>
                <w:b/>
                <w:bCs/>
              </w:rPr>
            </w:pPr>
            <w:r>
              <w:rPr>
                <w:rFonts w:eastAsia="Times New Roman" w:cstheme="minorHAnsi"/>
                <w:b/>
                <w:bCs/>
              </w:rPr>
              <w:t>Eusra Shams</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24F5B71D" w14:textId="017E9720" w:rsidR="00F75032" w:rsidRPr="001650C9" w:rsidRDefault="00F75032" w:rsidP="00944D65">
      <w:pPr>
        <w:suppressAutoHyphens/>
        <w:spacing w:after="0" w:line="240" w:lineRule="auto"/>
        <w:contextualSpacing/>
        <w:rPr>
          <w:rFonts w:cstheme="minorHAnsi"/>
        </w:rPr>
      </w:pPr>
      <w:r>
        <w:rPr>
          <w:rFonts w:cstheme="minorHAnsi"/>
        </w:rPr>
        <w:t>Eusra Shams</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1C29C77E" w14:textId="22435183" w:rsidR="0032740C" w:rsidRDefault="0032740C" w:rsidP="00944D65">
      <w:pPr>
        <w:suppressAutoHyphens/>
        <w:spacing w:after="0" w:line="240" w:lineRule="auto"/>
        <w:contextualSpacing/>
        <w:textAlignment w:val="baseline"/>
        <w:rPr>
          <w:rFonts w:eastAsia="Times New Roman" w:cstheme="minorHAnsi"/>
        </w:rPr>
      </w:pPr>
    </w:p>
    <w:p w14:paraId="0B9ADE2B" w14:textId="2CD75890" w:rsidR="000C131F" w:rsidRDefault="000C131F" w:rsidP="000C131F">
      <w:pPr>
        <w:suppressAutoHyphens/>
        <w:spacing w:after="0" w:line="240" w:lineRule="auto"/>
        <w:ind w:firstLine="720"/>
        <w:contextualSpacing/>
        <w:textAlignment w:val="baseline"/>
        <w:rPr>
          <w:rFonts w:eastAsia="Times New Roman" w:cstheme="minorHAnsi"/>
        </w:rPr>
      </w:pPr>
      <w:r>
        <w:rPr>
          <w:rFonts w:eastAsia="Times New Roman" w:cstheme="minorHAnsi"/>
        </w:rPr>
        <w:t>Artemis Financial provides financial planning for clients, which includes conducting financial transactions and transfers, as well as holding multiple types of financial accounts (savings, retirement, investment, etc.) for clients. It is imperative that the communication for each of these accounts and transactions remains secure and private between each financial advisor and their individual client.</w:t>
      </w:r>
    </w:p>
    <w:p w14:paraId="1A6D2733" w14:textId="77777777" w:rsidR="00516432" w:rsidRDefault="000C131F" w:rsidP="000C131F">
      <w:pPr>
        <w:suppressAutoHyphens/>
        <w:spacing w:after="0" w:line="240" w:lineRule="auto"/>
        <w:ind w:firstLine="720"/>
        <w:contextualSpacing/>
        <w:textAlignment w:val="baseline"/>
        <w:rPr>
          <w:rFonts w:eastAsia="Times New Roman" w:cstheme="minorHAnsi"/>
        </w:rPr>
      </w:pPr>
      <w:r>
        <w:rPr>
          <w:rFonts w:eastAsia="Times New Roman" w:cstheme="minorHAnsi"/>
        </w:rPr>
        <w:t>The company has the potential to conduct a multitude of international transactions, as clients or financial advisors may choose to invest in international markets. Additionally, clients may be in various locations around the world or conduct transactions while travelling internationally.</w:t>
      </w:r>
      <w:r w:rsidR="00516432">
        <w:rPr>
          <w:rFonts w:eastAsia="Times New Roman" w:cstheme="minorHAnsi"/>
        </w:rPr>
        <w:t xml:space="preserve"> </w:t>
      </w:r>
    </w:p>
    <w:p w14:paraId="5C6D5B6F" w14:textId="6175BF61" w:rsidR="000C131F" w:rsidRDefault="00107988" w:rsidP="000C131F">
      <w:pPr>
        <w:suppressAutoHyphens/>
        <w:spacing w:after="0" w:line="240" w:lineRule="auto"/>
        <w:ind w:firstLine="720"/>
        <w:contextualSpacing/>
        <w:textAlignment w:val="baseline"/>
        <w:rPr>
          <w:rFonts w:eastAsia="Times New Roman" w:cstheme="minorHAnsi"/>
        </w:rPr>
      </w:pPr>
      <w:r>
        <w:rPr>
          <w:rFonts w:eastAsia="Times New Roman" w:cstheme="minorHAnsi"/>
        </w:rPr>
        <w:t xml:space="preserve">Governmental restrictions vary greatly, depending on the region of the world. </w:t>
      </w:r>
      <w:r w:rsidR="00516432">
        <w:rPr>
          <w:rFonts w:eastAsia="Times New Roman" w:cstheme="minorHAnsi"/>
        </w:rPr>
        <w:t>While the US does not have regulations that affect the whole country, California has the CCPA</w:t>
      </w:r>
      <w:r w:rsidR="00516432">
        <w:rPr>
          <w:rFonts w:eastAsia="Times New Roman" w:cstheme="minorHAnsi"/>
          <w:vertAlign w:val="superscript"/>
        </w:rPr>
        <w:t>1</w:t>
      </w:r>
      <w:r w:rsidR="00516432">
        <w:rPr>
          <w:rFonts w:eastAsia="Times New Roman" w:cstheme="minorHAnsi"/>
        </w:rPr>
        <w:t xml:space="preserve"> of 2018. Countries in the European Union are also under the GDPR</w:t>
      </w:r>
      <w:r w:rsidR="00516432">
        <w:rPr>
          <w:rFonts w:eastAsia="Times New Roman" w:cstheme="minorHAnsi"/>
          <w:vertAlign w:val="superscript"/>
        </w:rPr>
        <w:t>2</w:t>
      </w:r>
      <w:r w:rsidR="00516432">
        <w:rPr>
          <w:rFonts w:eastAsia="Times New Roman" w:cstheme="minorHAnsi"/>
        </w:rPr>
        <w:t xml:space="preserve"> policy that regulates communications. It is necessary to adhere to the strictest guidelines available to ensure all communications are secured to the standards necessary to conduct international transactions.</w:t>
      </w:r>
    </w:p>
    <w:p w14:paraId="09480B2A" w14:textId="45116225" w:rsidR="00107988" w:rsidRPr="008D3426" w:rsidRDefault="00107988" w:rsidP="000C131F">
      <w:pPr>
        <w:suppressAutoHyphens/>
        <w:spacing w:after="0" w:line="240" w:lineRule="auto"/>
        <w:ind w:firstLine="720"/>
        <w:contextualSpacing/>
        <w:textAlignment w:val="baseline"/>
        <w:rPr>
          <w:rFonts w:eastAsia="Times New Roman" w:cstheme="minorHAnsi"/>
          <w:vertAlign w:val="superscript"/>
        </w:rPr>
      </w:pPr>
      <w:r>
        <w:rPr>
          <w:rFonts w:eastAsia="Times New Roman" w:cstheme="minorHAnsi"/>
        </w:rPr>
        <w:t xml:space="preserve">API security risks are present that may </w:t>
      </w:r>
      <w:proofErr w:type="gramStart"/>
      <w:r>
        <w:rPr>
          <w:rFonts w:eastAsia="Times New Roman" w:cstheme="minorHAnsi"/>
        </w:rPr>
        <w:t>include:</w:t>
      </w:r>
      <w:proofErr w:type="gramEnd"/>
      <w:r w:rsidR="008D3426">
        <w:rPr>
          <w:rFonts w:eastAsia="Times New Roman" w:cstheme="minorHAnsi"/>
          <w:vertAlign w:val="superscript"/>
        </w:rPr>
        <w:t>3</w:t>
      </w:r>
    </w:p>
    <w:p w14:paraId="73641BA1" w14:textId="5D61AD9A" w:rsidR="008D3426" w:rsidRDefault="008D3426" w:rsidP="00107988">
      <w:pPr>
        <w:pStyle w:val="ListParagraph"/>
        <w:numPr>
          <w:ilvl w:val="0"/>
          <w:numId w:val="13"/>
        </w:numPr>
        <w:suppressAutoHyphens/>
        <w:spacing w:after="0" w:line="240" w:lineRule="auto"/>
        <w:textAlignment w:val="baseline"/>
        <w:rPr>
          <w:rFonts w:eastAsia="Times New Roman" w:cstheme="minorHAnsi"/>
        </w:rPr>
      </w:pPr>
      <w:r>
        <w:rPr>
          <w:rFonts w:eastAsia="Times New Roman" w:cstheme="minorHAnsi"/>
        </w:rPr>
        <w:t>A</w:t>
      </w:r>
      <w:r w:rsidR="00107988" w:rsidRPr="00107988">
        <w:rPr>
          <w:rFonts w:eastAsia="Times New Roman" w:cstheme="minorHAnsi"/>
        </w:rPr>
        <w:t>uthentication of user or function</w:t>
      </w:r>
      <w:r>
        <w:rPr>
          <w:rFonts w:eastAsia="Times New Roman" w:cstheme="minorHAnsi"/>
        </w:rPr>
        <w:t xml:space="preserve"> – proper identification of user or function</w:t>
      </w:r>
    </w:p>
    <w:p w14:paraId="3CAE8FAB" w14:textId="1F220664" w:rsidR="008D3426" w:rsidRDefault="008D3426" w:rsidP="00107988">
      <w:pPr>
        <w:pStyle w:val="ListParagraph"/>
        <w:numPr>
          <w:ilvl w:val="0"/>
          <w:numId w:val="13"/>
        </w:numPr>
        <w:suppressAutoHyphens/>
        <w:spacing w:after="0" w:line="240" w:lineRule="auto"/>
        <w:textAlignment w:val="baseline"/>
        <w:rPr>
          <w:rFonts w:eastAsia="Times New Roman" w:cstheme="minorHAnsi"/>
        </w:rPr>
      </w:pPr>
      <w:r>
        <w:rPr>
          <w:rFonts w:eastAsia="Times New Roman" w:cstheme="minorHAnsi"/>
        </w:rPr>
        <w:t>Not handling authorization separate from authentication – checking whether user or function can access given resource</w:t>
      </w:r>
    </w:p>
    <w:p w14:paraId="0975ECBE" w14:textId="7E72A258" w:rsidR="008D3426" w:rsidRDefault="008D3426" w:rsidP="00107988">
      <w:pPr>
        <w:pStyle w:val="ListParagraph"/>
        <w:numPr>
          <w:ilvl w:val="0"/>
          <w:numId w:val="13"/>
        </w:numPr>
        <w:suppressAutoHyphens/>
        <w:spacing w:after="0" w:line="240" w:lineRule="auto"/>
        <w:textAlignment w:val="baseline"/>
        <w:rPr>
          <w:rFonts w:eastAsia="Times New Roman" w:cstheme="minorHAnsi"/>
        </w:rPr>
      </w:pPr>
      <w:r>
        <w:rPr>
          <w:rFonts w:eastAsia="Times New Roman" w:cstheme="minorHAnsi"/>
        </w:rPr>
        <w:t>D</w:t>
      </w:r>
      <w:r w:rsidR="00107988" w:rsidRPr="00107988">
        <w:rPr>
          <w:rFonts w:eastAsia="Times New Roman" w:cstheme="minorHAnsi"/>
        </w:rPr>
        <w:t>ata exposure</w:t>
      </w:r>
      <w:r>
        <w:rPr>
          <w:rFonts w:eastAsia="Times New Roman" w:cstheme="minorHAnsi"/>
        </w:rPr>
        <w:t xml:space="preserve"> – excess exposure to unauthorized users</w:t>
      </w:r>
    </w:p>
    <w:p w14:paraId="03E55B9E" w14:textId="3E372538" w:rsidR="008D3426" w:rsidRDefault="008D3426" w:rsidP="00107988">
      <w:pPr>
        <w:pStyle w:val="ListParagraph"/>
        <w:numPr>
          <w:ilvl w:val="0"/>
          <w:numId w:val="13"/>
        </w:numPr>
        <w:suppressAutoHyphens/>
        <w:spacing w:after="0" w:line="240" w:lineRule="auto"/>
        <w:textAlignment w:val="baseline"/>
        <w:rPr>
          <w:rFonts w:eastAsia="Times New Roman" w:cstheme="minorHAnsi"/>
        </w:rPr>
      </w:pPr>
      <w:r>
        <w:rPr>
          <w:rFonts w:eastAsia="Times New Roman" w:cstheme="minorHAnsi"/>
        </w:rPr>
        <w:t>I</w:t>
      </w:r>
      <w:r w:rsidR="00107988" w:rsidRPr="00107988">
        <w:rPr>
          <w:rFonts w:eastAsia="Times New Roman" w:cstheme="minorHAnsi"/>
        </w:rPr>
        <w:t>nsufficient logging and monitoring</w:t>
      </w:r>
      <w:r>
        <w:rPr>
          <w:rFonts w:eastAsia="Times New Roman" w:cstheme="minorHAnsi"/>
        </w:rPr>
        <w:t xml:space="preserve"> – same vulnerabilities attacked multiple times</w:t>
      </w:r>
    </w:p>
    <w:p w14:paraId="7BFDFF34" w14:textId="77777777" w:rsidR="008D3426" w:rsidRDefault="008D3426" w:rsidP="00107988">
      <w:pPr>
        <w:pStyle w:val="ListParagraph"/>
        <w:numPr>
          <w:ilvl w:val="0"/>
          <w:numId w:val="13"/>
        </w:numPr>
        <w:suppressAutoHyphens/>
        <w:spacing w:after="0" w:line="240" w:lineRule="auto"/>
        <w:textAlignment w:val="baseline"/>
        <w:rPr>
          <w:rFonts w:eastAsia="Times New Roman" w:cstheme="minorHAnsi"/>
        </w:rPr>
      </w:pPr>
      <w:r>
        <w:rPr>
          <w:rFonts w:eastAsia="Times New Roman" w:cstheme="minorHAnsi"/>
        </w:rPr>
        <w:t>S</w:t>
      </w:r>
      <w:r w:rsidR="00107988" w:rsidRPr="00107988">
        <w:rPr>
          <w:rFonts w:eastAsia="Times New Roman" w:cstheme="minorHAnsi"/>
        </w:rPr>
        <w:t>ecurity misconfiguration</w:t>
      </w:r>
      <w:r>
        <w:rPr>
          <w:rFonts w:eastAsia="Times New Roman" w:cstheme="minorHAnsi"/>
        </w:rPr>
        <w:t>s</w:t>
      </w:r>
    </w:p>
    <w:p w14:paraId="62086507" w14:textId="215D1280" w:rsidR="008D3426" w:rsidRDefault="00107988" w:rsidP="008D3426">
      <w:pPr>
        <w:pStyle w:val="ListParagraph"/>
        <w:numPr>
          <w:ilvl w:val="0"/>
          <w:numId w:val="13"/>
        </w:numPr>
        <w:suppressAutoHyphens/>
        <w:spacing w:after="0" w:line="240" w:lineRule="auto"/>
        <w:textAlignment w:val="baseline"/>
        <w:rPr>
          <w:rFonts w:eastAsia="Times New Roman" w:cstheme="minorHAnsi"/>
        </w:rPr>
      </w:pPr>
      <w:r w:rsidRPr="00107988">
        <w:rPr>
          <w:rFonts w:eastAsia="Times New Roman" w:cstheme="minorHAnsi"/>
        </w:rPr>
        <w:t>DDoS attack</w:t>
      </w:r>
      <w:r w:rsidR="008D3426">
        <w:rPr>
          <w:rFonts w:eastAsia="Times New Roman" w:cstheme="minorHAnsi"/>
        </w:rPr>
        <w:t>s – excess traffic to make application crash</w:t>
      </w:r>
    </w:p>
    <w:p w14:paraId="0A9B87ED" w14:textId="7DF9190B" w:rsidR="008D3426" w:rsidRDefault="008D3426" w:rsidP="008D3426">
      <w:pPr>
        <w:pStyle w:val="ListParagraph"/>
        <w:numPr>
          <w:ilvl w:val="0"/>
          <w:numId w:val="13"/>
        </w:numPr>
        <w:suppressAutoHyphens/>
        <w:spacing w:after="0" w:line="240" w:lineRule="auto"/>
        <w:textAlignment w:val="baseline"/>
        <w:rPr>
          <w:rFonts w:eastAsia="Times New Roman" w:cstheme="minorHAnsi"/>
        </w:rPr>
      </w:pPr>
      <w:r>
        <w:rPr>
          <w:rFonts w:eastAsia="Times New Roman" w:cstheme="minorHAnsi"/>
        </w:rPr>
        <w:t xml:space="preserve">Insufficient server security – unsecured web-based or </w:t>
      </w:r>
      <w:proofErr w:type="gramStart"/>
      <w:r>
        <w:rPr>
          <w:rFonts w:eastAsia="Times New Roman" w:cstheme="minorHAnsi"/>
        </w:rPr>
        <w:t>app based</w:t>
      </w:r>
      <w:proofErr w:type="gramEnd"/>
      <w:r>
        <w:rPr>
          <w:rFonts w:eastAsia="Times New Roman" w:cstheme="minorHAnsi"/>
        </w:rPr>
        <w:t xml:space="preserve"> access or requests are accepted</w:t>
      </w: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33388A6F" w14:textId="0458B35D" w:rsidR="00A35F36" w:rsidRPr="00A35F36" w:rsidRDefault="00A35F36" w:rsidP="00A35F36">
      <w:pPr>
        <w:suppressAutoHyphens/>
        <w:spacing w:after="0" w:line="240" w:lineRule="auto"/>
        <w:rPr>
          <w:rFonts w:eastAsia="Times New Roman" w:cstheme="minorHAnsi"/>
        </w:rPr>
      </w:pPr>
    </w:p>
    <w:p w14:paraId="2DBFE39A" w14:textId="213113CC" w:rsidR="00A35F36" w:rsidRDefault="00A35F36" w:rsidP="00A35F36">
      <w:pPr>
        <w:pStyle w:val="ListParagraph"/>
        <w:numPr>
          <w:ilvl w:val="0"/>
          <w:numId w:val="14"/>
        </w:numPr>
        <w:suppressAutoHyphens/>
        <w:spacing w:after="0" w:line="240" w:lineRule="auto"/>
        <w:rPr>
          <w:rFonts w:eastAsia="Times New Roman" w:cstheme="minorHAnsi"/>
        </w:rPr>
      </w:pPr>
      <w:r>
        <w:rPr>
          <w:rFonts w:eastAsia="Times New Roman" w:cstheme="minorHAnsi"/>
        </w:rPr>
        <w:t>API – the web-based application will require secured configuration to prevent any compromise of security between the system and API connection.</w:t>
      </w:r>
    </w:p>
    <w:p w14:paraId="5566FD0B" w14:textId="3413602C" w:rsidR="00A35F36" w:rsidRDefault="00A35F36" w:rsidP="00A35F36">
      <w:pPr>
        <w:pStyle w:val="ListParagraph"/>
        <w:numPr>
          <w:ilvl w:val="0"/>
          <w:numId w:val="14"/>
        </w:numPr>
        <w:suppressAutoHyphens/>
        <w:spacing w:after="0" w:line="240" w:lineRule="auto"/>
        <w:rPr>
          <w:rFonts w:eastAsia="Times New Roman" w:cstheme="minorHAnsi"/>
        </w:rPr>
      </w:pPr>
      <w:r>
        <w:rPr>
          <w:rFonts w:eastAsia="Times New Roman" w:cstheme="minorHAnsi"/>
        </w:rPr>
        <w:t>Cryptography – data as transactions or account information will be transmitted. It is necessary to ensure proper encryption to prevent exposure to unauthorized users or attackers.</w:t>
      </w:r>
    </w:p>
    <w:p w14:paraId="096B8AA9" w14:textId="37D74FF8" w:rsidR="00A35F36" w:rsidRDefault="00A35F36" w:rsidP="00A35F36">
      <w:pPr>
        <w:pStyle w:val="ListParagraph"/>
        <w:numPr>
          <w:ilvl w:val="0"/>
          <w:numId w:val="14"/>
        </w:numPr>
        <w:suppressAutoHyphens/>
        <w:spacing w:after="0" w:line="240" w:lineRule="auto"/>
        <w:rPr>
          <w:rFonts w:eastAsia="Times New Roman" w:cstheme="minorHAnsi"/>
        </w:rPr>
      </w:pPr>
      <w:r>
        <w:rPr>
          <w:rFonts w:eastAsia="Times New Roman" w:cstheme="minorHAnsi"/>
        </w:rPr>
        <w:t xml:space="preserve">Client/Server – the clients here are the users Artemis financial will be servicing, who will be interacting with the server to conduct financial </w:t>
      </w:r>
      <w:proofErr w:type="gramStart"/>
      <w:r>
        <w:rPr>
          <w:rFonts w:eastAsia="Times New Roman" w:cstheme="minorHAnsi"/>
        </w:rPr>
        <w:t>transactions, and</w:t>
      </w:r>
      <w:proofErr w:type="gramEnd"/>
      <w:r>
        <w:rPr>
          <w:rFonts w:eastAsia="Times New Roman" w:cstheme="minorHAnsi"/>
        </w:rPr>
        <w:t xml:space="preserve"> retrieve account information. It will be necessary to ensure connections are secure and private.</w:t>
      </w:r>
    </w:p>
    <w:p w14:paraId="5EDE788A" w14:textId="7FF76F46" w:rsidR="00A35F36" w:rsidRDefault="00A35F36" w:rsidP="00A35F36">
      <w:pPr>
        <w:pStyle w:val="ListParagraph"/>
        <w:numPr>
          <w:ilvl w:val="0"/>
          <w:numId w:val="14"/>
        </w:numPr>
        <w:suppressAutoHyphens/>
        <w:spacing w:after="0" w:line="240" w:lineRule="auto"/>
        <w:rPr>
          <w:rFonts w:eastAsia="Times New Roman" w:cstheme="minorHAnsi"/>
        </w:rPr>
      </w:pPr>
      <w:r>
        <w:rPr>
          <w:rFonts w:eastAsia="Times New Roman" w:cstheme="minorHAnsi"/>
        </w:rPr>
        <w:t>Secure coding – it is necessary to ensure the code is valid and up to the security standards as required by multiple governing bodies, as well as provide testing against multiple types of attacks or errors.</w:t>
      </w:r>
    </w:p>
    <w:p w14:paraId="5274DC3F" w14:textId="5028B2B6" w:rsidR="00A176F0" w:rsidRPr="00A35F36" w:rsidRDefault="00A176F0" w:rsidP="00A35F36">
      <w:pPr>
        <w:pStyle w:val="ListParagraph"/>
        <w:numPr>
          <w:ilvl w:val="0"/>
          <w:numId w:val="14"/>
        </w:numPr>
        <w:suppressAutoHyphens/>
        <w:spacing w:after="0" w:line="240" w:lineRule="auto"/>
        <w:rPr>
          <w:rFonts w:eastAsia="Times New Roman" w:cstheme="minorHAnsi"/>
        </w:rPr>
      </w:pPr>
      <w:r>
        <w:rPr>
          <w:rFonts w:eastAsia="Times New Roman" w:cstheme="minorHAnsi"/>
        </w:rPr>
        <w:t xml:space="preserve">Encapsulation – account information and user data are stored as </w:t>
      </w:r>
      <w:proofErr w:type="gramStart"/>
      <w:r>
        <w:rPr>
          <w:rFonts w:eastAsia="Times New Roman" w:cstheme="minorHAnsi"/>
        </w:rPr>
        <w:t>databases, and</w:t>
      </w:r>
      <w:proofErr w:type="gramEnd"/>
      <w:r>
        <w:rPr>
          <w:rFonts w:eastAsia="Times New Roman" w:cstheme="minorHAnsi"/>
        </w:rPr>
        <w:t xml:space="preserve"> will need to be protected from unauthorized access or modifications.</w:t>
      </w:r>
    </w:p>
    <w:p w14:paraId="04859FE0" w14:textId="77777777" w:rsidR="00A35F36" w:rsidRPr="001650C9" w:rsidRDefault="00A35F36"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02C2E9BB" w:rsidR="00812410" w:rsidRPr="00A176F0" w:rsidRDefault="00A176F0" w:rsidP="00A176F0">
      <w:pPr>
        <w:pStyle w:val="ListParagraph"/>
        <w:numPr>
          <w:ilvl w:val="0"/>
          <w:numId w:val="15"/>
        </w:numPr>
        <w:suppressAutoHyphens/>
        <w:spacing w:after="0" w:line="240" w:lineRule="auto"/>
        <w:rPr>
          <w:rFonts w:eastAsia="Times New Roman" w:cstheme="minorHAnsi"/>
        </w:rPr>
      </w:pPr>
      <w:r w:rsidRPr="00A176F0">
        <w:rPr>
          <w:rFonts w:eastAsia="Times New Roman" w:cstheme="minorHAnsi"/>
        </w:rPr>
        <w:t>CRUDController.java has the CRUD method that is accessed by passing “business_name” to return the DocData object. Here, code can be injected to gain access to the database.</w:t>
      </w:r>
    </w:p>
    <w:p w14:paraId="0A8D57E6" w14:textId="6B71B610" w:rsidR="00A176F0" w:rsidRDefault="00A176F0" w:rsidP="00A176F0">
      <w:pPr>
        <w:suppressAutoHyphens/>
        <w:spacing w:after="0" w:line="240" w:lineRule="auto"/>
        <w:ind w:left="720"/>
        <w:contextualSpacing/>
        <w:rPr>
          <w:rFonts w:eastAsia="Times New Roman" w:cstheme="minorHAnsi"/>
        </w:rPr>
      </w:pPr>
    </w:p>
    <w:p w14:paraId="480A49BB" w14:textId="138CA81B" w:rsidR="00A176F0" w:rsidRDefault="00A176F0" w:rsidP="00A17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CRUD CRUD(</w:t>
      </w:r>
      <w:r>
        <w:rPr>
          <w:rFonts w:ascii="Consolas" w:hAnsi="Consolas" w:cs="Consolas"/>
          <w:color w:val="646464"/>
          <w:sz w:val="20"/>
          <w:szCs w:val="20"/>
        </w:rPr>
        <w:t>@</w:t>
      </w:r>
      <w:r>
        <w:rPr>
          <w:rFonts w:ascii="Consolas" w:hAnsi="Consolas" w:cs="Consolas"/>
          <w:color w:val="000000"/>
          <w:sz w:val="20"/>
          <w:szCs w:val="20"/>
        </w:rPr>
        <w:t>RequestParam(value=</w:t>
      </w:r>
      <w:r>
        <w:rPr>
          <w:rFonts w:ascii="Consolas" w:hAnsi="Consolas" w:cs="Consolas"/>
          <w:color w:val="2A00FF"/>
          <w:sz w:val="20"/>
          <w:szCs w:val="20"/>
        </w:rPr>
        <w:t>"business_name"</w:t>
      </w:r>
      <w:r>
        <w:rPr>
          <w:rFonts w:ascii="Consolas" w:hAnsi="Consolas" w:cs="Consolas"/>
          <w:color w:val="000000"/>
          <w:sz w:val="20"/>
          <w:szCs w:val="20"/>
        </w:rPr>
        <w:t>) String name) {</w:t>
      </w:r>
    </w:p>
    <w:p w14:paraId="4DBB5962" w14:textId="1619DF57" w:rsidR="00A176F0" w:rsidRDefault="00A176F0" w:rsidP="00A17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 xml:space="preserve">DocData doc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DocData(</w:t>
      </w:r>
      <w:proofErr w:type="gramEnd"/>
      <w:r>
        <w:rPr>
          <w:rFonts w:ascii="Consolas" w:hAnsi="Consolas" w:cs="Consolas"/>
          <w:color w:val="000000"/>
          <w:sz w:val="20"/>
          <w:szCs w:val="20"/>
        </w:rPr>
        <w:t>);</w:t>
      </w:r>
    </w:p>
    <w:p w14:paraId="2760E543" w14:textId="77777777" w:rsidR="00A176F0" w:rsidRDefault="00A176F0" w:rsidP="00A17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47FAF4" w14:textId="7999C3AD" w:rsidR="00A176F0" w:rsidRDefault="00A176F0" w:rsidP="00A176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CRUD(</w:t>
      </w:r>
      <w:proofErr w:type="gramEnd"/>
      <w:r>
        <w:rPr>
          <w:rFonts w:ascii="Consolas" w:hAnsi="Consolas" w:cs="Consolas"/>
          <w:color w:val="000000"/>
          <w:sz w:val="20"/>
          <w:szCs w:val="20"/>
        </w:rPr>
        <w:t>doc.toString());</w:t>
      </w:r>
    </w:p>
    <w:p w14:paraId="04628024" w14:textId="1AF4B119" w:rsidR="00A176F0" w:rsidRDefault="00A176F0" w:rsidP="00A176F0">
      <w:pPr>
        <w:suppressAutoHyphens/>
        <w:spacing w:after="0" w:line="240" w:lineRule="auto"/>
        <w:ind w:left="720"/>
        <w:contextualSpacing/>
        <w:rPr>
          <w:rFonts w:eastAsia="Times New Roman" w:cstheme="minorHAnsi"/>
        </w:rPr>
      </w:pPr>
      <w:r>
        <w:rPr>
          <w:rFonts w:ascii="Consolas" w:hAnsi="Consolas" w:cs="Consolas"/>
          <w:color w:val="000000"/>
          <w:sz w:val="20"/>
          <w:szCs w:val="20"/>
        </w:rPr>
        <w:t xml:space="preserve">    </w:t>
      </w:r>
      <w:r>
        <w:rPr>
          <w:rFonts w:ascii="Consolas" w:hAnsi="Consolas" w:cs="Consolas"/>
          <w:color w:val="000000"/>
          <w:sz w:val="20"/>
          <w:szCs w:val="20"/>
        </w:rPr>
        <w:tab/>
        <w:t>}</w:t>
      </w:r>
    </w:p>
    <w:p w14:paraId="67A6F56A" w14:textId="72B8BC80" w:rsidR="001240EF" w:rsidRDefault="00A176F0" w:rsidP="00944D65">
      <w:pPr>
        <w:pStyle w:val="ListParagraph"/>
        <w:numPr>
          <w:ilvl w:val="0"/>
          <w:numId w:val="15"/>
        </w:numPr>
        <w:suppressAutoHyphens/>
        <w:spacing w:after="0" w:line="240" w:lineRule="auto"/>
        <w:rPr>
          <w:rFonts w:eastAsia="Times New Roman" w:cstheme="minorHAnsi"/>
        </w:rPr>
      </w:pPr>
      <w:r>
        <w:rPr>
          <w:rFonts w:eastAsia="Times New Roman" w:cstheme="minorHAnsi"/>
        </w:rPr>
        <w:t xml:space="preserve">DataDoc.java </w:t>
      </w:r>
      <w:r w:rsidR="00D82101">
        <w:rPr>
          <w:rFonts w:eastAsia="Times New Roman" w:cstheme="minorHAnsi"/>
        </w:rPr>
        <w:t xml:space="preserve">shows </w:t>
      </w:r>
      <w:r w:rsidR="00F75032">
        <w:rPr>
          <w:rFonts w:eastAsia="Times New Roman" w:cstheme="minorHAnsi"/>
        </w:rPr>
        <w:t>vulnerability to data access as these are easy to find by unauthorized users through use of brute force attacks.</w:t>
      </w:r>
    </w:p>
    <w:p w14:paraId="34246A72" w14:textId="77777777" w:rsidR="00F75032" w:rsidRPr="00F75032" w:rsidRDefault="00F75032" w:rsidP="00F75032">
      <w:pPr>
        <w:pStyle w:val="ListParagraph"/>
        <w:suppressAutoHyphens/>
        <w:spacing w:after="0" w:line="240" w:lineRule="auto"/>
        <w:ind w:left="360"/>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7B35C684" w14:textId="48136A40" w:rsidR="00113667" w:rsidRDefault="00113667" w:rsidP="00113667">
      <w:pPr>
        <w:suppressAutoHyphens/>
        <w:spacing w:after="0" w:line="240" w:lineRule="auto"/>
        <w:contextualSpacing/>
        <w:rPr>
          <w:rFonts w:cstheme="minorHAnsi"/>
        </w:rPr>
      </w:pPr>
    </w:p>
    <w:p w14:paraId="2BDFF424" w14:textId="5C6589AE" w:rsidR="00431E62" w:rsidRDefault="00431E62" w:rsidP="00113667">
      <w:pPr>
        <w:suppressAutoHyphens/>
        <w:spacing w:after="0" w:line="240" w:lineRule="auto"/>
        <w:contextualSpacing/>
        <w:rPr>
          <w:rFonts w:cstheme="minorHAnsi"/>
        </w:rPr>
      </w:pPr>
      <w:r>
        <w:rPr>
          <w:noProof/>
        </w:rPr>
        <w:drawing>
          <wp:inline distT="0" distB="0" distL="0" distR="0" wp14:anchorId="4D65A9CC" wp14:editId="4B176AB5">
            <wp:extent cx="5943600" cy="2590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0165"/>
                    </a:xfrm>
                    <a:prstGeom prst="rect">
                      <a:avLst/>
                    </a:prstGeom>
                  </pic:spPr>
                </pic:pic>
              </a:graphicData>
            </a:graphic>
          </wp:inline>
        </w:drawing>
      </w:r>
    </w:p>
    <w:p w14:paraId="3E5FAF94" w14:textId="327C2323" w:rsidR="00431E62" w:rsidRDefault="00431E62" w:rsidP="00113667">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515"/>
        <w:gridCol w:w="3718"/>
        <w:gridCol w:w="3117"/>
      </w:tblGrid>
      <w:tr w:rsidR="00431E62" w:rsidRPr="00431E62" w14:paraId="41144351" w14:textId="77777777" w:rsidTr="00910E9B">
        <w:tc>
          <w:tcPr>
            <w:tcW w:w="2515" w:type="dxa"/>
          </w:tcPr>
          <w:p w14:paraId="0EB8B12E" w14:textId="6391BFF3" w:rsidR="00431E62" w:rsidRPr="00431E62" w:rsidRDefault="00431E62" w:rsidP="00113667">
            <w:pPr>
              <w:suppressAutoHyphens/>
              <w:spacing w:after="0" w:line="240" w:lineRule="auto"/>
              <w:contextualSpacing/>
              <w:rPr>
                <w:rFonts w:cstheme="minorHAnsi"/>
                <w:b/>
                <w:bCs/>
              </w:rPr>
            </w:pPr>
            <w:r>
              <w:rPr>
                <w:rFonts w:cstheme="minorHAnsi"/>
                <w:b/>
                <w:bCs/>
              </w:rPr>
              <w:t xml:space="preserve">Vulnerability </w:t>
            </w:r>
            <w:r w:rsidRPr="00431E62">
              <w:rPr>
                <w:rFonts w:cstheme="minorHAnsi"/>
                <w:b/>
                <w:bCs/>
              </w:rPr>
              <w:t>Code</w:t>
            </w:r>
            <w:r>
              <w:rPr>
                <w:rFonts w:cstheme="minorHAnsi"/>
                <w:b/>
                <w:bCs/>
              </w:rPr>
              <w:t xml:space="preserve"> (CVE)</w:t>
            </w:r>
          </w:p>
        </w:tc>
        <w:tc>
          <w:tcPr>
            <w:tcW w:w="3718" w:type="dxa"/>
          </w:tcPr>
          <w:p w14:paraId="5E71ED94" w14:textId="0BC3BA17" w:rsidR="00431E62" w:rsidRPr="00431E62" w:rsidRDefault="00431E62" w:rsidP="00113667">
            <w:pPr>
              <w:suppressAutoHyphens/>
              <w:spacing w:after="0" w:line="240" w:lineRule="auto"/>
              <w:contextualSpacing/>
              <w:rPr>
                <w:rFonts w:cstheme="minorHAnsi"/>
                <w:b/>
                <w:bCs/>
              </w:rPr>
            </w:pPr>
            <w:r>
              <w:rPr>
                <w:rFonts w:cstheme="minorHAnsi"/>
                <w:b/>
                <w:bCs/>
              </w:rPr>
              <w:t>Descriptor</w:t>
            </w:r>
          </w:p>
        </w:tc>
        <w:tc>
          <w:tcPr>
            <w:tcW w:w="3117" w:type="dxa"/>
          </w:tcPr>
          <w:p w14:paraId="53B425A0" w14:textId="342C98FD" w:rsidR="00431E62" w:rsidRPr="00431E62" w:rsidRDefault="00431E62" w:rsidP="00113667">
            <w:pPr>
              <w:suppressAutoHyphens/>
              <w:spacing w:after="0" w:line="240" w:lineRule="auto"/>
              <w:contextualSpacing/>
              <w:rPr>
                <w:rFonts w:cstheme="minorHAnsi"/>
                <w:b/>
                <w:bCs/>
              </w:rPr>
            </w:pPr>
            <w:r>
              <w:rPr>
                <w:rFonts w:cstheme="minorHAnsi"/>
                <w:b/>
                <w:bCs/>
              </w:rPr>
              <w:t>Recommended solutions</w:t>
            </w:r>
          </w:p>
        </w:tc>
      </w:tr>
      <w:tr w:rsidR="00431E62" w14:paraId="1A2D7B3C" w14:textId="77777777" w:rsidTr="00910E9B">
        <w:tc>
          <w:tcPr>
            <w:tcW w:w="2515" w:type="dxa"/>
          </w:tcPr>
          <w:p w14:paraId="41674C3F" w14:textId="2DFA7C1B" w:rsidR="00431E62" w:rsidRDefault="00431E62" w:rsidP="00113667">
            <w:pPr>
              <w:suppressAutoHyphens/>
              <w:spacing w:after="0" w:line="240" w:lineRule="auto"/>
              <w:contextualSpacing/>
              <w:rPr>
                <w:rFonts w:cstheme="minorHAnsi"/>
              </w:rPr>
            </w:pPr>
            <w:r>
              <w:rPr>
                <w:rFonts w:cstheme="minorHAnsi"/>
              </w:rPr>
              <w:t>2013-1624</w:t>
            </w:r>
          </w:p>
        </w:tc>
        <w:tc>
          <w:tcPr>
            <w:tcW w:w="3718" w:type="dxa"/>
          </w:tcPr>
          <w:p w14:paraId="32E4F437" w14:textId="0084CA15" w:rsidR="00431E62" w:rsidRDefault="00C05930" w:rsidP="00113667">
            <w:pPr>
              <w:suppressAutoHyphens/>
              <w:spacing w:after="0" w:line="240" w:lineRule="auto"/>
              <w:contextualSpacing/>
              <w:rPr>
                <w:rFonts w:cstheme="minorHAnsi"/>
              </w:rPr>
            </w:pPr>
            <w:r>
              <w:rPr>
                <w:rFonts w:cstheme="minorHAnsi"/>
              </w:rPr>
              <w:t>Implemented TLS has no proper consideration on timing side channel attacks.</w:t>
            </w:r>
          </w:p>
        </w:tc>
        <w:tc>
          <w:tcPr>
            <w:tcW w:w="3117" w:type="dxa"/>
          </w:tcPr>
          <w:p w14:paraId="1479A7F7" w14:textId="03EC8B36" w:rsidR="00431E62" w:rsidRDefault="00CB390D" w:rsidP="00113667">
            <w:pPr>
              <w:suppressAutoHyphens/>
              <w:spacing w:after="0" w:line="240" w:lineRule="auto"/>
              <w:contextualSpacing/>
              <w:rPr>
                <w:rFonts w:cstheme="minorHAnsi"/>
              </w:rPr>
            </w:pPr>
            <w:r>
              <w:rPr>
                <w:rFonts w:cstheme="minorHAnsi"/>
              </w:rPr>
              <w:t>Mitigation strategies are required for proper timing checks, and to prevent timing data attacks.</w:t>
            </w:r>
          </w:p>
        </w:tc>
      </w:tr>
      <w:tr w:rsidR="00431E62" w14:paraId="40DDCC36" w14:textId="77777777" w:rsidTr="00910E9B">
        <w:tc>
          <w:tcPr>
            <w:tcW w:w="2515" w:type="dxa"/>
          </w:tcPr>
          <w:p w14:paraId="5DDD71BB" w14:textId="25439DF3" w:rsidR="00431E62" w:rsidRDefault="00431E62" w:rsidP="00113667">
            <w:pPr>
              <w:suppressAutoHyphens/>
              <w:spacing w:after="0" w:line="240" w:lineRule="auto"/>
              <w:contextualSpacing/>
              <w:rPr>
                <w:rFonts w:cstheme="minorHAnsi"/>
              </w:rPr>
            </w:pPr>
            <w:r>
              <w:rPr>
                <w:rFonts w:cstheme="minorHAnsi"/>
              </w:rPr>
              <w:t>2015-6644</w:t>
            </w:r>
          </w:p>
        </w:tc>
        <w:tc>
          <w:tcPr>
            <w:tcW w:w="3718" w:type="dxa"/>
          </w:tcPr>
          <w:p w14:paraId="1360F0F9" w14:textId="7057B89E" w:rsidR="00431E62" w:rsidRDefault="00CB390D" w:rsidP="00113667">
            <w:pPr>
              <w:suppressAutoHyphens/>
              <w:spacing w:after="0" w:line="240" w:lineRule="auto"/>
              <w:contextualSpacing/>
              <w:rPr>
                <w:rFonts w:cstheme="minorHAnsi"/>
              </w:rPr>
            </w:pPr>
            <w:r>
              <w:rPr>
                <w:rFonts w:cstheme="minorHAnsi"/>
              </w:rPr>
              <w:t>Inappropriate information disclosure may occur by accessing private data stored in database.</w:t>
            </w:r>
          </w:p>
        </w:tc>
        <w:tc>
          <w:tcPr>
            <w:tcW w:w="3117" w:type="dxa"/>
          </w:tcPr>
          <w:p w14:paraId="0909325D" w14:textId="1609D998" w:rsidR="00431E62" w:rsidRDefault="00CB390D" w:rsidP="00113667">
            <w:pPr>
              <w:suppressAutoHyphens/>
              <w:spacing w:after="0" w:line="240" w:lineRule="auto"/>
              <w:contextualSpacing/>
              <w:rPr>
                <w:rFonts w:cstheme="minorHAnsi"/>
              </w:rPr>
            </w:pPr>
            <w:r>
              <w:rPr>
                <w:rFonts w:cstheme="minorHAnsi"/>
              </w:rPr>
              <w:t>The application will need to be updated regularly.</w:t>
            </w:r>
          </w:p>
        </w:tc>
      </w:tr>
      <w:tr w:rsidR="00431E62" w14:paraId="6D376217" w14:textId="77777777" w:rsidTr="00910E9B">
        <w:tc>
          <w:tcPr>
            <w:tcW w:w="2515" w:type="dxa"/>
          </w:tcPr>
          <w:p w14:paraId="4C24D5E8" w14:textId="7A80FC7A" w:rsidR="00431E62" w:rsidRDefault="00431E62" w:rsidP="00431E62">
            <w:pPr>
              <w:suppressAutoHyphens/>
              <w:spacing w:after="0" w:line="240" w:lineRule="auto"/>
              <w:contextualSpacing/>
              <w:rPr>
                <w:rFonts w:cstheme="minorHAnsi"/>
              </w:rPr>
            </w:pPr>
            <w:r>
              <w:rPr>
                <w:rFonts w:cstheme="minorHAnsi"/>
              </w:rPr>
              <w:t>2017-13098</w:t>
            </w:r>
          </w:p>
        </w:tc>
        <w:tc>
          <w:tcPr>
            <w:tcW w:w="3718" w:type="dxa"/>
          </w:tcPr>
          <w:p w14:paraId="3C2F081D" w14:textId="1D85A9F5" w:rsidR="00431E62" w:rsidRPr="00DB3244" w:rsidRDefault="0079651C" w:rsidP="00DB3244">
            <w:pPr>
              <w:pStyle w:val="HTMLPreformatted"/>
              <w:rPr>
                <w:rFonts w:ascii="Arial" w:hAnsi="Arial" w:cs="Arial"/>
                <w:color w:val="000000"/>
              </w:rPr>
            </w:pPr>
            <w:r>
              <w:rPr>
                <w:rFonts w:ascii="Arial" w:hAnsi="Arial" w:cs="Arial"/>
                <w:color w:val="000000"/>
              </w:rPr>
              <w:t>Provides a weak Bleichenbacher oracle when any TLS cipher suite using RSA key exchange is negotiated. An attacker can recover the private key from a vulnerable application.</w:t>
            </w:r>
          </w:p>
        </w:tc>
        <w:tc>
          <w:tcPr>
            <w:tcW w:w="3117" w:type="dxa"/>
          </w:tcPr>
          <w:p w14:paraId="73570A69" w14:textId="3D7345D3" w:rsidR="00431E62" w:rsidRDefault="00DB3244" w:rsidP="00431E62">
            <w:pPr>
              <w:suppressAutoHyphens/>
              <w:spacing w:after="0" w:line="240" w:lineRule="auto"/>
              <w:contextualSpacing/>
              <w:rPr>
                <w:rFonts w:cstheme="minorHAnsi"/>
              </w:rPr>
            </w:pPr>
            <w:r>
              <w:rPr>
                <w:rFonts w:cstheme="minorHAnsi"/>
              </w:rPr>
              <w:t xml:space="preserve">Listed mitigation strategy is to disable TLS RSA cyphers if </w:t>
            </w:r>
            <w:proofErr w:type="gramStart"/>
            <w:r>
              <w:rPr>
                <w:rFonts w:cstheme="minorHAnsi"/>
              </w:rPr>
              <w:t>possible</w:t>
            </w:r>
            <w:proofErr w:type="gramEnd"/>
            <w:r>
              <w:rPr>
                <w:rFonts w:cstheme="minorHAnsi"/>
              </w:rPr>
              <w:t xml:space="preserve"> for affected users and administrators, and apply updates</w:t>
            </w:r>
          </w:p>
        </w:tc>
      </w:tr>
      <w:tr w:rsidR="00431E62" w14:paraId="4316F654" w14:textId="77777777" w:rsidTr="00910E9B">
        <w:tc>
          <w:tcPr>
            <w:tcW w:w="2515" w:type="dxa"/>
          </w:tcPr>
          <w:p w14:paraId="684CF452" w14:textId="4B6C75B5" w:rsidR="00431E62" w:rsidRDefault="00C05930" w:rsidP="00431E62">
            <w:pPr>
              <w:suppressAutoHyphens/>
              <w:spacing w:after="0" w:line="240" w:lineRule="auto"/>
              <w:contextualSpacing/>
              <w:rPr>
                <w:rFonts w:cstheme="minorHAnsi"/>
              </w:rPr>
            </w:pPr>
            <w:r>
              <w:rPr>
                <w:rFonts w:cstheme="minorHAnsi"/>
              </w:rPr>
              <w:t>2020-9488</w:t>
            </w:r>
          </w:p>
        </w:tc>
        <w:tc>
          <w:tcPr>
            <w:tcW w:w="3718" w:type="dxa"/>
          </w:tcPr>
          <w:p w14:paraId="6B45E0F4" w14:textId="4202C6BF" w:rsidR="00431E62" w:rsidRDefault="00C05930" w:rsidP="00431E62">
            <w:pPr>
              <w:suppressAutoHyphens/>
              <w:spacing w:after="0" w:line="240" w:lineRule="auto"/>
              <w:contextualSpacing/>
              <w:rPr>
                <w:rFonts w:cstheme="minorHAnsi"/>
              </w:rPr>
            </w:pPr>
            <w:r>
              <w:rPr>
                <w:rFonts w:cstheme="minorHAnsi"/>
              </w:rPr>
              <w:t xml:space="preserve">There are associated certificate validations in Apache SMTP appender. This may allow for man-in-the-middle </w:t>
            </w:r>
            <w:r>
              <w:rPr>
                <w:rFonts w:cstheme="minorHAnsi"/>
              </w:rPr>
              <w:lastRenderedPageBreak/>
              <w:t>attacks that cause intercepted connections.</w:t>
            </w:r>
          </w:p>
        </w:tc>
        <w:tc>
          <w:tcPr>
            <w:tcW w:w="3117" w:type="dxa"/>
          </w:tcPr>
          <w:p w14:paraId="72D3D172" w14:textId="206C9619" w:rsidR="00431E62" w:rsidRDefault="008654FE" w:rsidP="00431E62">
            <w:pPr>
              <w:suppressAutoHyphens/>
              <w:spacing w:after="0" w:line="240" w:lineRule="auto"/>
              <w:contextualSpacing/>
              <w:rPr>
                <w:rFonts w:cstheme="minorHAnsi"/>
              </w:rPr>
            </w:pPr>
            <w:r>
              <w:rPr>
                <w:rFonts w:cstheme="minorHAnsi"/>
              </w:rPr>
              <w:lastRenderedPageBreak/>
              <w:t xml:space="preserve">Upgrades to SmtpAppender 2.13.2 will all host name to </w:t>
            </w:r>
            <w:r>
              <w:rPr>
                <w:rFonts w:cstheme="minorHAnsi"/>
              </w:rPr>
              <w:lastRenderedPageBreak/>
              <w:t>match with the SSL/TLS certificate of SMTPS connection.</w:t>
            </w:r>
          </w:p>
        </w:tc>
      </w:tr>
      <w:tr w:rsidR="00C05930" w14:paraId="3D723B80" w14:textId="77777777" w:rsidTr="00910E9B">
        <w:tc>
          <w:tcPr>
            <w:tcW w:w="2515" w:type="dxa"/>
          </w:tcPr>
          <w:p w14:paraId="30670FAC" w14:textId="2552BD98" w:rsidR="00C05930" w:rsidRDefault="00C05930" w:rsidP="00431E62">
            <w:pPr>
              <w:suppressAutoHyphens/>
              <w:spacing w:after="0" w:line="240" w:lineRule="auto"/>
              <w:contextualSpacing/>
              <w:rPr>
                <w:rFonts w:cstheme="minorHAnsi"/>
              </w:rPr>
            </w:pPr>
            <w:r>
              <w:rPr>
                <w:rFonts w:cstheme="minorHAnsi"/>
              </w:rPr>
              <w:lastRenderedPageBreak/>
              <w:t>2020-13934</w:t>
            </w:r>
          </w:p>
        </w:tc>
        <w:tc>
          <w:tcPr>
            <w:tcW w:w="3718" w:type="dxa"/>
          </w:tcPr>
          <w:p w14:paraId="7CD10768" w14:textId="24B489FD" w:rsidR="00C05930" w:rsidRDefault="00CB390D" w:rsidP="00431E62">
            <w:pPr>
              <w:suppressAutoHyphens/>
              <w:spacing w:after="0" w:line="240" w:lineRule="auto"/>
              <w:contextualSpacing/>
              <w:rPr>
                <w:rFonts w:cstheme="minorHAnsi"/>
              </w:rPr>
            </w:pPr>
            <w:r w:rsidRPr="00CB390D">
              <w:rPr>
                <w:rFonts w:cstheme="minorHAnsi"/>
              </w:rPr>
              <w:t>OutOfMemoryException could occur leading to a denial of service.</w:t>
            </w:r>
          </w:p>
        </w:tc>
        <w:tc>
          <w:tcPr>
            <w:tcW w:w="3117" w:type="dxa"/>
          </w:tcPr>
          <w:p w14:paraId="7A161D62" w14:textId="7D9D6AC0" w:rsidR="00C05930" w:rsidRDefault="008654FE" w:rsidP="00431E62">
            <w:pPr>
              <w:suppressAutoHyphens/>
              <w:spacing w:after="0" w:line="240" w:lineRule="auto"/>
              <w:contextualSpacing/>
              <w:rPr>
                <w:rFonts w:cstheme="minorHAnsi"/>
              </w:rPr>
            </w:pPr>
            <w:r>
              <w:rPr>
                <w:rFonts w:cstheme="minorHAnsi"/>
              </w:rPr>
              <w:t>Upgrades to Apache Tomcat 10.0.0-M7 or later is the related mitigation strategy.</w:t>
            </w:r>
          </w:p>
        </w:tc>
      </w:tr>
      <w:tr w:rsidR="00C05930" w14:paraId="488DA840" w14:textId="77777777" w:rsidTr="00910E9B">
        <w:tc>
          <w:tcPr>
            <w:tcW w:w="2515" w:type="dxa"/>
          </w:tcPr>
          <w:p w14:paraId="23C0485D" w14:textId="2FC84481" w:rsidR="00C05930" w:rsidRDefault="00C05930" w:rsidP="00431E62">
            <w:pPr>
              <w:suppressAutoHyphens/>
              <w:spacing w:after="0" w:line="240" w:lineRule="auto"/>
              <w:contextualSpacing/>
              <w:rPr>
                <w:rFonts w:cstheme="minorHAnsi"/>
              </w:rPr>
            </w:pPr>
            <w:r>
              <w:rPr>
                <w:rFonts w:cstheme="minorHAnsi"/>
              </w:rPr>
              <w:t>2020-13935</w:t>
            </w:r>
          </w:p>
        </w:tc>
        <w:tc>
          <w:tcPr>
            <w:tcW w:w="3718" w:type="dxa"/>
          </w:tcPr>
          <w:p w14:paraId="22A4D454" w14:textId="58DD09A1" w:rsidR="00C05930" w:rsidRPr="00CB390D" w:rsidRDefault="00CB390D" w:rsidP="00CB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CB390D">
              <w:rPr>
                <w:rFonts w:ascii="Arial" w:eastAsia="Times New Roman" w:hAnsi="Arial" w:cs="Arial"/>
                <w:color w:val="000000"/>
                <w:sz w:val="20"/>
                <w:szCs w:val="20"/>
              </w:rPr>
              <w:t>Invalid payload lengths could trigger an infinite loop. Multiple requests with invalid payload lengths could lead to a denial of service.</w:t>
            </w:r>
          </w:p>
        </w:tc>
        <w:tc>
          <w:tcPr>
            <w:tcW w:w="3117" w:type="dxa"/>
          </w:tcPr>
          <w:p w14:paraId="28726B5D" w14:textId="1DAE72A0" w:rsidR="00C05930" w:rsidRDefault="00DB3244" w:rsidP="00431E62">
            <w:pPr>
              <w:suppressAutoHyphens/>
              <w:spacing w:after="0" w:line="240" w:lineRule="auto"/>
              <w:contextualSpacing/>
              <w:rPr>
                <w:rFonts w:cstheme="minorHAnsi"/>
              </w:rPr>
            </w:pPr>
            <w:r>
              <w:rPr>
                <w:rFonts w:cstheme="minorHAnsi"/>
              </w:rPr>
              <w:t>Validation measures will need to be put into place to prevent errors.</w:t>
            </w:r>
          </w:p>
        </w:tc>
      </w:tr>
      <w:tr w:rsidR="00C05930" w14:paraId="7C802F23" w14:textId="77777777" w:rsidTr="00910E9B">
        <w:tc>
          <w:tcPr>
            <w:tcW w:w="2515" w:type="dxa"/>
          </w:tcPr>
          <w:p w14:paraId="69B237B8" w14:textId="67CC7C88" w:rsidR="00C05930" w:rsidRDefault="00C05930" w:rsidP="00431E62">
            <w:pPr>
              <w:suppressAutoHyphens/>
              <w:spacing w:after="0" w:line="240" w:lineRule="auto"/>
              <w:contextualSpacing/>
              <w:rPr>
                <w:rFonts w:cstheme="minorHAnsi"/>
              </w:rPr>
            </w:pPr>
            <w:r>
              <w:rPr>
                <w:rFonts w:cstheme="minorHAnsi"/>
              </w:rPr>
              <w:t>2020-1938</w:t>
            </w:r>
          </w:p>
        </w:tc>
        <w:tc>
          <w:tcPr>
            <w:tcW w:w="3718" w:type="dxa"/>
          </w:tcPr>
          <w:p w14:paraId="44DBE088" w14:textId="77777777" w:rsidR="00CB390D" w:rsidRDefault="00CB390D" w:rsidP="00CB390D">
            <w:pPr>
              <w:pStyle w:val="HTMLPreformatted"/>
              <w:rPr>
                <w:rFonts w:ascii="Arial" w:hAnsi="Arial" w:cs="Arial"/>
                <w:color w:val="000000"/>
              </w:rPr>
            </w:pPr>
            <w:r>
              <w:rPr>
                <w:rFonts w:ascii="Arial" w:hAnsi="Arial" w:cs="Arial"/>
                <w:color w:val="000000"/>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w:t>
            </w:r>
          </w:p>
          <w:p w14:paraId="75108C18" w14:textId="77777777" w:rsidR="00C05930" w:rsidRDefault="00C05930" w:rsidP="00431E62">
            <w:pPr>
              <w:suppressAutoHyphens/>
              <w:spacing w:after="0" w:line="240" w:lineRule="auto"/>
              <w:contextualSpacing/>
              <w:rPr>
                <w:rFonts w:cstheme="minorHAnsi"/>
              </w:rPr>
            </w:pPr>
          </w:p>
        </w:tc>
        <w:tc>
          <w:tcPr>
            <w:tcW w:w="3117" w:type="dxa"/>
          </w:tcPr>
          <w:p w14:paraId="16DB7766" w14:textId="3E489AED" w:rsidR="00C05930" w:rsidRDefault="008654FE" w:rsidP="00431E62">
            <w:pPr>
              <w:suppressAutoHyphens/>
              <w:spacing w:after="0" w:line="240" w:lineRule="auto"/>
              <w:contextualSpacing/>
              <w:rPr>
                <w:rFonts w:cstheme="minorHAnsi"/>
              </w:rPr>
            </w:pPr>
            <w:r>
              <w:rPr>
                <w:rFonts w:cstheme="minorHAnsi"/>
              </w:rPr>
              <w:t>Update to Tomcat 9.0.31 will resolve the issues.</w:t>
            </w:r>
          </w:p>
        </w:tc>
      </w:tr>
      <w:tr w:rsidR="00C05930" w14:paraId="7C723CB8" w14:textId="77777777" w:rsidTr="00910E9B">
        <w:tc>
          <w:tcPr>
            <w:tcW w:w="2515" w:type="dxa"/>
          </w:tcPr>
          <w:p w14:paraId="7B800E99" w14:textId="3C328525" w:rsidR="00C05930" w:rsidRDefault="00C05930" w:rsidP="00431E62">
            <w:pPr>
              <w:suppressAutoHyphens/>
              <w:spacing w:after="0" w:line="240" w:lineRule="auto"/>
              <w:contextualSpacing/>
              <w:rPr>
                <w:rFonts w:cstheme="minorHAnsi"/>
              </w:rPr>
            </w:pPr>
            <w:r>
              <w:rPr>
                <w:rFonts w:cstheme="minorHAnsi"/>
              </w:rPr>
              <w:t>2019-17569</w:t>
            </w:r>
          </w:p>
        </w:tc>
        <w:tc>
          <w:tcPr>
            <w:tcW w:w="3718" w:type="dxa"/>
          </w:tcPr>
          <w:p w14:paraId="7ABCF4A5" w14:textId="142A0CAE" w:rsidR="00C05930" w:rsidRDefault="00CB390D" w:rsidP="00431E62">
            <w:pPr>
              <w:suppressAutoHyphens/>
              <w:spacing w:after="0" w:line="240" w:lineRule="auto"/>
              <w:contextualSpacing/>
              <w:rPr>
                <w:rFonts w:cstheme="minorHAnsi"/>
              </w:rPr>
            </w:pPr>
            <w:r>
              <w:rPr>
                <w:rFonts w:cstheme="minorHAnsi"/>
              </w:rPr>
              <w:t>I</w:t>
            </w:r>
            <w:r w:rsidRPr="00CB390D">
              <w:rPr>
                <w:rFonts w:cstheme="minorHAnsi"/>
              </w:rPr>
              <w:t>nvalid Transfer-Encoding headers were incorrectly processed leading to a possibility of HTTP Request Smuggling if Tomcat was located behind a reverse proxy that incorrectly handled the invalid Transfer-Encoding header in a particular manner.</w:t>
            </w:r>
          </w:p>
        </w:tc>
        <w:tc>
          <w:tcPr>
            <w:tcW w:w="3117" w:type="dxa"/>
          </w:tcPr>
          <w:p w14:paraId="3E0261E4" w14:textId="33407701" w:rsidR="00C05930" w:rsidRDefault="008654FE" w:rsidP="00431E62">
            <w:pPr>
              <w:suppressAutoHyphens/>
              <w:spacing w:after="0" w:line="240" w:lineRule="auto"/>
              <w:contextualSpacing/>
              <w:rPr>
                <w:rFonts w:cstheme="minorHAnsi"/>
              </w:rPr>
            </w:pPr>
            <w:r>
              <w:rPr>
                <w:rFonts w:cstheme="minorHAnsi"/>
              </w:rPr>
              <w:t>Update to Tomcat 9.0.31 will resolve the issues.</w:t>
            </w:r>
          </w:p>
        </w:tc>
      </w:tr>
    </w:tbl>
    <w:p w14:paraId="5F5CB720" w14:textId="3C001746" w:rsidR="00431E62" w:rsidRDefault="00431E62" w:rsidP="00113667">
      <w:pPr>
        <w:suppressAutoHyphens/>
        <w:spacing w:after="0" w:line="240" w:lineRule="auto"/>
        <w:contextualSpacing/>
        <w:rPr>
          <w:rFonts w:cstheme="minorHAnsi"/>
        </w:rPr>
      </w:pPr>
    </w:p>
    <w:p w14:paraId="6A89B869" w14:textId="77777777" w:rsidR="00431E62" w:rsidRPr="001650C9" w:rsidRDefault="00431E62"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55350FCF" w14:textId="00C6F642" w:rsidR="00516432" w:rsidRDefault="00516432" w:rsidP="00113667">
      <w:pPr>
        <w:pStyle w:val="NormalWeb"/>
        <w:suppressAutoHyphens/>
        <w:spacing w:before="0" w:beforeAutospacing="0" w:after="0" w:afterAutospacing="0" w:line="240" w:lineRule="auto"/>
        <w:contextualSpacing/>
        <w:rPr>
          <w:rFonts w:asciiTheme="minorHAnsi" w:hAnsiTheme="minorHAnsi" w:cstheme="minorHAnsi"/>
        </w:rPr>
      </w:pPr>
    </w:p>
    <w:p w14:paraId="6BE1E5CA" w14:textId="5D9FC3E7" w:rsidR="008654FE" w:rsidRDefault="008654F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t>The code will need to be modified to require username and password generation that meets multiple security criteria (length, special characters, etc.). The code should also prevent using the same string for username and passwords. The access to the database will require more than injection of “business_name” to access database.</w:t>
      </w:r>
    </w:p>
    <w:p w14:paraId="552B54AD" w14:textId="3A0A8C5A" w:rsidR="008654FE" w:rsidRDefault="008654F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t xml:space="preserve">The </w:t>
      </w:r>
      <w:r w:rsidR="00F75032">
        <w:rPr>
          <w:rFonts w:asciiTheme="minorHAnsi" w:hAnsiTheme="minorHAnsi" w:cstheme="minorHAnsi"/>
        </w:rPr>
        <w:t xml:space="preserve">Apache server will be updated to the most current version to prevent multiple vulnerabilities. Additionally, the code should be able to handle validation of multiple cryptographic certificates </w:t>
      </w:r>
      <w:proofErr w:type="gramStart"/>
      <w:r w:rsidR="00F75032">
        <w:rPr>
          <w:rFonts w:asciiTheme="minorHAnsi" w:hAnsiTheme="minorHAnsi" w:cstheme="minorHAnsi"/>
        </w:rPr>
        <w:t>in order to</w:t>
      </w:r>
      <w:proofErr w:type="gramEnd"/>
      <w:r w:rsidR="00F75032">
        <w:rPr>
          <w:rFonts w:asciiTheme="minorHAnsi" w:hAnsiTheme="minorHAnsi" w:cstheme="minorHAnsi"/>
        </w:rPr>
        <w:t xml:space="preserve"> prevent main-in-the-middle attacks.</w:t>
      </w:r>
    </w:p>
    <w:p w14:paraId="3A84816B" w14:textId="77777777" w:rsidR="008654FE" w:rsidRDefault="008654FE" w:rsidP="00113667">
      <w:pPr>
        <w:pStyle w:val="NormalWeb"/>
        <w:suppressAutoHyphens/>
        <w:spacing w:before="0" w:beforeAutospacing="0" w:after="0" w:afterAutospacing="0" w:line="240" w:lineRule="auto"/>
        <w:contextualSpacing/>
        <w:rPr>
          <w:rFonts w:asciiTheme="minorHAnsi" w:hAnsiTheme="minorHAnsi" w:cstheme="minorHAnsi"/>
        </w:rPr>
      </w:pPr>
    </w:p>
    <w:p w14:paraId="4385FC44" w14:textId="0A5C5DF8" w:rsidR="00516432" w:rsidRDefault="00516432" w:rsidP="00113667">
      <w:pPr>
        <w:pStyle w:val="NormalWeb"/>
        <w:suppressAutoHyphens/>
        <w:spacing w:before="0" w:beforeAutospacing="0" w:after="0" w:afterAutospacing="0" w:line="240" w:lineRule="auto"/>
        <w:contextualSpacing/>
        <w:rPr>
          <w:rFonts w:asciiTheme="minorHAnsi" w:hAnsiTheme="minorHAnsi" w:cstheme="minorHAnsi"/>
          <w:b/>
          <w:bCs/>
          <w:u w:val="single"/>
        </w:rPr>
      </w:pPr>
      <w:r>
        <w:rPr>
          <w:rFonts w:asciiTheme="minorHAnsi" w:hAnsiTheme="minorHAnsi" w:cstheme="minorHAnsi"/>
          <w:b/>
          <w:bCs/>
          <w:u w:val="single"/>
        </w:rPr>
        <w:t>References</w:t>
      </w:r>
    </w:p>
    <w:p w14:paraId="4592A545" w14:textId="18946B06" w:rsidR="00107988" w:rsidRDefault="00107988" w:rsidP="00516432">
      <w:pPr>
        <w:pStyle w:val="NormalWeb"/>
        <w:numPr>
          <w:ilvl w:val="0"/>
          <w:numId w:val="12"/>
        </w:numPr>
        <w:suppressAutoHyphens/>
        <w:spacing w:after="0" w:line="240" w:lineRule="auto"/>
        <w:contextualSpacing/>
        <w:rPr>
          <w:rFonts w:asciiTheme="minorHAnsi" w:hAnsiTheme="minorHAnsi" w:cstheme="minorHAnsi"/>
        </w:rPr>
      </w:pPr>
      <w:r w:rsidRPr="00107988">
        <w:rPr>
          <w:rFonts w:asciiTheme="minorHAnsi" w:hAnsiTheme="minorHAnsi" w:cstheme="minorHAnsi"/>
        </w:rPr>
        <w:t xml:space="preserve">California Consumer Privacy Act (CCPA). (2021, March 4). State of California - Department of Justice - Office of the Attorney General. </w:t>
      </w:r>
      <w:hyperlink r:id="rId14" w:history="1">
        <w:r w:rsidRPr="00DA62C1">
          <w:rPr>
            <w:rStyle w:val="Hyperlink"/>
            <w:rFonts w:asciiTheme="minorHAnsi" w:hAnsiTheme="minorHAnsi" w:cstheme="minorHAnsi"/>
          </w:rPr>
          <w:t>https://oag.ca.gov/privacy/ccpa</w:t>
        </w:r>
      </w:hyperlink>
    </w:p>
    <w:p w14:paraId="1AC2F042" w14:textId="67CBE935" w:rsidR="00516432" w:rsidRDefault="00516432" w:rsidP="00516432">
      <w:pPr>
        <w:pStyle w:val="NormalWeb"/>
        <w:numPr>
          <w:ilvl w:val="0"/>
          <w:numId w:val="12"/>
        </w:numPr>
        <w:suppressAutoHyphens/>
        <w:spacing w:after="0" w:line="240" w:lineRule="auto"/>
        <w:contextualSpacing/>
        <w:rPr>
          <w:rFonts w:asciiTheme="minorHAnsi" w:hAnsiTheme="minorHAnsi" w:cstheme="minorHAnsi"/>
        </w:rPr>
      </w:pPr>
      <w:r w:rsidRPr="00516432">
        <w:rPr>
          <w:rFonts w:asciiTheme="minorHAnsi" w:hAnsiTheme="minorHAnsi" w:cstheme="minorHAnsi"/>
        </w:rPr>
        <w:t xml:space="preserve">General Data Protection Regulation (GDPR) – Official Legal Text. (2019, September 2). General Data Protection Regulation (GDPR). </w:t>
      </w:r>
      <w:hyperlink r:id="rId15" w:history="1">
        <w:r w:rsidR="00107988" w:rsidRPr="00DA62C1">
          <w:rPr>
            <w:rStyle w:val="Hyperlink"/>
            <w:rFonts w:asciiTheme="minorHAnsi" w:hAnsiTheme="minorHAnsi" w:cstheme="minorHAnsi"/>
          </w:rPr>
          <w:t>https://gdpr-info.eu/</w:t>
        </w:r>
      </w:hyperlink>
    </w:p>
    <w:p w14:paraId="0F4094B9" w14:textId="0A449974" w:rsidR="00107988" w:rsidRPr="008D3426" w:rsidRDefault="008D3426" w:rsidP="008D3426">
      <w:pPr>
        <w:pStyle w:val="NormalWeb"/>
        <w:numPr>
          <w:ilvl w:val="0"/>
          <w:numId w:val="12"/>
        </w:numPr>
        <w:suppressAutoHyphens/>
        <w:spacing w:after="0" w:line="240" w:lineRule="auto"/>
        <w:contextualSpacing/>
        <w:rPr>
          <w:rFonts w:asciiTheme="minorHAnsi" w:hAnsiTheme="minorHAnsi" w:cstheme="minorHAnsi"/>
        </w:rPr>
      </w:pPr>
      <w:r w:rsidRPr="008D3426">
        <w:rPr>
          <w:rFonts w:asciiTheme="minorHAnsi" w:hAnsiTheme="minorHAnsi" w:cstheme="minorHAnsi"/>
        </w:rPr>
        <w:t>Gilling, D. (2020, July 7). Top 10 API Security Threats Every API Team Should Know. Top 10 API Security Threats Every API Team Should Know | Moesif Blog. https://www.moesif.com/blog/technical/api-security/API-Security-Threats-Every-API-Team-Should-Know/</w:t>
      </w:r>
    </w:p>
    <w:sectPr w:rsidR="00107988" w:rsidRPr="008D3426" w:rsidSect="00C41B36">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4062A" w14:textId="77777777" w:rsidR="00EC01C5" w:rsidRDefault="00EC01C5" w:rsidP="002F3F84">
      <w:r>
        <w:separator/>
      </w:r>
    </w:p>
  </w:endnote>
  <w:endnote w:type="continuationSeparator" w:id="0">
    <w:p w14:paraId="01E15BB2" w14:textId="77777777" w:rsidR="00EC01C5" w:rsidRDefault="00EC01C5"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9D6D2" w14:textId="77777777" w:rsidR="00EC01C5" w:rsidRDefault="00EC01C5" w:rsidP="002F3F84">
      <w:r>
        <w:separator/>
      </w:r>
    </w:p>
  </w:footnote>
  <w:footnote w:type="continuationSeparator" w:id="0">
    <w:p w14:paraId="6ED1C256" w14:textId="77777777" w:rsidR="00EC01C5" w:rsidRDefault="00EC01C5"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7101F42"/>
    <w:multiLevelType w:val="hybridMultilevel"/>
    <w:tmpl w:val="9F8C6C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11A58"/>
    <w:multiLevelType w:val="hybridMultilevel"/>
    <w:tmpl w:val="C27A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162F7"/>
    <w:multiLevelType w:val="hybridMultilevel"/>
    <w:tmpl w:val="0BFE7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4C247E"/>
    <w:multiLevelType w:val="hybridMultilevel"/>
    <w:tmpl w:val="46D0F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2"/>
  </w:num>
  <w:num w:numId="4">
    <w:abstractNumId w:val="10"/>
    <w:lvlOverride w:ilvl="0">
      <w:lvl w:ilvl="0">
        <w:numFmt w:val="lowerLetter"/>
        <w:lvlText w:val="%1."/>
        <w:lvlJc w:val="left"/>
      </w:lvl>
    </w:lvlOverride>
  </w:num>
  <w:num w:numId="5">
    <w:abstractNumId w:val="5"/>
  </w:num>
  <w:num w:numId="6">
    <w:abstractNumId w:val="2"/>
    <w:lvlOverride w:ilvl="0">
      <w:lvl w:ilvl="0">
        <w:numFmt w:val="lowerLetter"/>
        <w:lvlText w:val="%1."/>
        <w:lvlJc w:val="left"/>
      </w:lvl>
    </w:lvlOverride>
  </w:num>
  <w:num w:numId="7">
    <w:abstractNumId w:val="0"/>
  </w:num>
  <w:num w:numId="8">
    <w:abstractNumId w:val="13"/>
  </w:num>
  <w:num w:numId="9">
    <w:abstractNumId w:val="6"/>
  </w:num>
  <w:num w:numId="10">
    <w:abstractNumId w:val="3"/>
  </w:num>
  <w:num w:numId="11">
    <w:abstractNumId w:val="14"/>
  </w:num>
  <w:num w:numId="12">
    <w:abstractNumId w:val="1"/>
  </w:num>
  <w:num w:numId="13">
    <w:abstractNumId w:val="11"/>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C131F"/>
    <w:rsid w:val="000D2A1B"/>
    <w:rsid w:val="00107988"/>
    <w:rsid w:val="00113667"/>
    <w:rsid w:val="001240EF"/>
    <w:rsid w:val="001650C9"/>
    <w:rsid w:val="00187548"/>
    <w:rsid w:val="001A381D"/>
    <w:rsid w:val="001C55A7"/>
    <w:rsid w:val="001E5399"/>
    <w:rsid w:val="00234FC3"/>
    <w:rsid w:val="00242E01"/>
    <w:rsid w:val="00256719"/>
    <w:rsid w:val="00271E26"/>
    <w:rsid w:val="002778D5"/>
    <w:rsid w:val="00281DF1"/>
    <w:rsid w:val="002F3F84"/>
    <w:rsid w:val="00321D27"/>
    <w:rsid w:val="0032740C"/>
    <w:rsid w:val="00352FD0"/>
    <w:rsid w:val="003726AD"/>
    <w:rsid w:val="00393181"/>
    <w:rsid w:val="003A0BF9"/>
    <w:rsid w:val="003E399D"/>
    <w:rsid w:val="003F32E7"/>
    <w:rsid w:val="00431E62"/>
    <w:rsid w:val="0046151B"/>
    <w:rsid w:val="00462F70"/>
    <w:rsid w:val="00485402"/>
    <w:rsid w:val="004D476B"/>
    <w:rsid w:val="00516432"/>
    <w:rsid w:val="00523478"/>
    <w:rsid w:val="00531FBF"/>
    <w:rsid w:val="00544AC4"/>
    <w:rsid w:val="0058064D"/>
    <w:rsid w:val="005A6070"/>
    <w:rsid w:val="005A7C7F"/>
    <w:rsid w:val="005C593C"/>
    <w:rsid w:val="005F574E"/>
    <w:rsid w:val="00633225"/>
    <w:rsid w:val="006B66FE"/>
    <w:rsid w:val="006C197D"/>
    <w:rsid w:val="00701A84"/>
    <w:rsid w:val="007033DB"/>
    <w:rsid w:val="007415E6"/>
    <w:rsid w:val="0079651C"/>
    <w:rsid w:val="00812410"/>
    <w:rsid w:val="00847593"/>
    <w:rsid w:val="00861EC1"/>
    <w:rsid w:val="008654FE"/>
    <w:rsid w:val="008D3426"/>
    <w:rsid w:val="00910E9B"/>
    <w:rsid w:val="00921C2E"/>
    <w:rsid w:val="00940B1A"/>
    <w:rsid w:val="00944D65"/>
    <w:rsid w:val="009714E8"/>
    <w:rsid w:val="00974AE3"/>
    <w:rsid w:val="009C11B9"/>
    <w:rsid w:val="009C6202"/>
    <w:rsid w:val="00A12BCB"/>
    <w:rsid w:val="00A176F0"/>
    <w:rsid w:val="00A35F36"/>
    <w:rsid w:val="00A71C4B"/>
    <w:rsid w:val="00A728D4"/>
    <w:rsid w:val="00A9068B"/>
    <w:rsid w:val="00AE5B33"/>
    <w:rsid w:val="00AF4C03"/>
    <w:rsid w:val="00B03C25"/>
    <w:rsid w:val="00B1598A"/>
    <w:rsid w:val="00B20F52"/>
    <w:rsid w:val="00B31D4B"/>
    <w:rsid w:val="00B35185"/>
    <w:rsid w:val="00B50C83"/>
    <w:rsid w:val="00B66A6E"/>
    <w:rsid w:val="00BF2E4C"/>
    <w:rsid w:val="00C05930"/>
    <w:rsid w:val="00C41B36"/>
    <w:rsid w:val="00C56FC2"/>
    <w:rsid w:val="00CB2008"/>
    <w:rsid w:val="00CB390D"/>
    <w:rsid w:val="00CE44E9"/>
    <w:rsid w:val="00D000D3"/>
    <w:rsid w:val="00D27FB4"/>
    <w:rsid w:val="00D82101"/>
    <w:rsid w:val="00DB3244"/>
    <w:rsid w:val="00DC2970"/>
    <w:rsid w:val="00E02BD0"/>
    <w:rsid w:val="00E66FC0"/>
    <w:rsid w:val="00EC01C5"/>
    <w:rsid w:val="00EE3EAE"/>
    <w:rsid w:val="00F66C9E"/>
    <w:rsid w:val="00F75032"/>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107988"/>
    <w:rPr>
      <w:color w:val="605E5C"/>
      <w:shd w:val="clear" w:color="auto" w:fill="E1DFDD"/>
    </w:rPr>
  </w:style>
  <w:style w:type="paragraph" w:styleId="HTMLPreformatted">
    <w:name w:val="HTML Preformatted"/>
    <w:basedOn w:val="Normal"/>
    <w:link w:val="HTMLPreformattedChar"/>
    <w:uiPriority w:val="99"/>
    <w:unhideWhenUsed/>
    <w:rsid w:val="00CB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9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4176335">
      <w:bodyDiv w:val="1"/>
      <w:marLeft w:val="0"/>
      <w:marRight w:val="0"/>
      <w:marTop w:val="0"/>
      <w:marBottom w:val="0"/>
      <w:divBdr>
        <w:top w:val="none" w:sz="0" w:space="0" w:color="auto"/>
        <w:left w:val="none" w:sz="0" w:space="0" w:color="auto"/>
        <w:bottom w:val="none" w:sz="0" w:space="0" w:color="auto"/>
        <w:right w:val="none" w:sz="0" w:space="0" w:color="auto"/>
      </w:divBdr>
    </w:div>
    <w:div w:id="1173953745">
      <w:bodyDiv w:val="1"/>
      <w:marLeft w:val="0"/>
      <w:marRight w:val="0"/>
      <w:marTop w:val="0"/>
      <w:marBottom w:val="0"/>
      <w:divBdr>
        <w:top w:val="none" w:sz="0" w:space="0" w:color="auto"/>
        <w:left w:val="none" w:sz="0" w:space="0" w:color="auto"/>
        <w:bottom w:val="none" w:sz="0" w:space="0" w:color="auto"/>
        <w:right w:val="none" w:sz="0" w:space="0" w:color="auto"/>
      </w:divBdr>
    </w:div>
    <w:div w:id="141501373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46818042">
      <w:bodyDiv w:val="1"/>
      <w:marLeft w:val="0"/>
      <w:marRight w:val="0"/>
      <w:marTop w:val="0"/>
      <w:marBottom w:val="0"/>
      <w:divBdr>
        <w:top w:val="none" w:sz="0" w:space="0" w:color="auto"/>
        <w:left w:val="none" w:sz="0" w:space="0" w:color="auto"/>
        <w:bottom w:val="none" w:sz="0" w:space="0" w:color="auto"/>
        <w:right w:val="none" w:sz="0" w:space="0" w:color="auto"/>
      </w:divBdr>
      <w:divsChild>
        <w:div w:id="129520615">
          <w:marLeft w:val="0"/>
          <w:marRight w:val="0"/>
          <w:marTop w:val="0"/>
          <w:marBottom w:val="0"/>
          <w:divBdr>
            <w:top w:val="none" w:sz="0" w:space="0" w:color="auto"/>
            <w:left w:val="none" w:sz="0" w:space="0" w:color="auto"/>
            <w:bottom w:val="none" w:sz="0" w:space="0" w:color="auto"/>
            <w:right w:val="none" w:sz="0" w:space="0" w:color="auto"/>
          </w:divBdr>
        </w:div>
        <w:div w:id="197788378">
          <w:marLeft w:val="0"/>
          <w:marRight w:val="0"/>
          <w:marTop w:val="0"/>
          <w:marBottom w:val="0"/>
          <w:divBdr>
            <w:top w:val="none" w:sz="0" w:space="0" w:color="auto"/>
            <w:left w:val="none" w:sz="0" w:space="0" w:color="auto"/>
            <w:bottom w:val="none" w:sz="0" w:space="0" w:color="auto"/>
            <w:right w:val="none" w:sz="0" w:space="0" w:color="auto"/>
          </w:divBdr>
          <w:divsChild>
            <w:div w:id="1599093793">
              <w:marLeft w:val="0"/>
              <w:marRight w:val="0"/>
              <w:marTop w:val="0"/>
              <w:marBottom w:val="0"/>
              <w:divBdr>
                <w:top w:val="none" w:sz="0" w:space="0" w:color="auto"/>
                <w:left w:val="none" w:sz="0" w:space="0" w:color="auto"/>
                <w:bottom w:val="none" w:sz="0" w:space="0" w:color="auto"/>
                <w:right w:val="none" w:sz="0" w:space="0" w:color="auto"/>
              </w:divBdr>
            </w:div>
            <w:div w:id="1796020844">
              <w:marLeft w:val="0"/>
              <w:marRight w:val="0"/>
              <w:marTop w:val="0"/>
              <w:marBottom w:val="0"/>
              <w:divBdr>
                <w:top w:val="none" w:sz="0" w:space="0" w:color="auto"/>
                <w:left w:val="none" w:sz="0" w:space="0" w:color="auto"/>
                <w:bottom w:val="none" w:sz="0" w:space="0" w:color="auto"/>
                <w:right w:val="none" w:sz="0" w:space="0" w:color="auto"/>
              </w:divBdr>
            </w:div>
            <w:div w:id="10884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dpr-info.eu/"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ag.ca.gov/privacy/cc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Shams, Eusra</cp:lastModifiedBy>
  <cp:revision>3</cp:revision>
  <dcterms:created xsi:type="dcterms:W3CDTF">2021-03-28T19:24:00Z</dcterms:created>
  <dcterms:modified xsi:type="dcterms:W3CDTF">2021-03-29T01:19:00Z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