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1F3864"/>
          <w:sz w:val="52"/>
        </w:rPr>
        <w:t>Fizik Tabanlı Dijital Twin</w:t>
      </w:r>
    </w:p>
    <w:p>
      <w:pPr>
        <w:spacing w:after="280"/>
        <w:jc w:val="center"/>
      </w:pPr>
      <w:r>
        <w:rPr>
          <w:b/>
          <w:i w:val="0"/>
          <w:color w:val="1F3864"/>
          <w:sz w:val="36"/>
        </w:rPr>
        <w:t>Hibrit Heyelan Duyarlılık Modeli</w:t>
      </w:r>
    </w:p>
    <w:p>
      <w:pPr>
        <w:spacing w:after="80"/>
        <w:jc w:val="center"/>
      </w:pPr>
      <w:r>
        <w:rPr>
          <w:b w:val="0"/>
          <w:i w:val="0"/>
          <w:color w:val="2C7FB8"/>
          <w:sz w:val="26"/>
        </w:rPr>
        <w:t>Kahramanmaraş · 6 Şubat 2023 Depremi (Mw 7.8 + 7.5)</w:t>
      </w:r>
    </w:p>
    <w:p>
      <w:pPr>
        <w:spacing w:after="800"/>
        <w:jc w:val="center"/>
      </w:pPr>
      <w:r>
        <w:rPr>
          <w:b w:val="0"/>
          <w:i w:val="0"/>
          <w:color w:val="595959"/>
          <w:sz w:val="24"/>
        </w:rPr>
        <w:t>FEM + Newmark + Fizik-Bilgili Yapay Sinir Ağı (PINN)</w:t>
      </w:r>
    </w:p>
    <w:p>
      <w:pPr>
        <w:spacing w:after="40"/>
        <w:jc w:val="center"/>
      </w:pPr>
      <w:r>
        <w:rPr>
          <w:b/>
          <w:i w:val="0"/>
          <w:sz w:val="24"/>
        </w:rPr>
        <w:t>Zeynep Ersöz · Trakya Üniversitesi</w:t>
      </w:r>
    </w:p>
    <w:p>
      <w:pPr>
        <w:jc w:val="center"/>
      </w:pPr>
      <w:r>
        <w:rPr>
          <w:b w:val="0"/>
          <w:i w:val="0"/>
          <w:color w:val="595959"/>
          <w:sz w:val="22"/>
        </w:rPr>
        <w:t>Teknik Özet Raporu · Sürüm 2 · Ekim 2026</w:t>
      </w:r>
    </w:p>
    <w:p>
      <w:r>
        <w:br w:type="page"/>
      </w:r>
    </w:p>
    <w:p>
      <w:pPr>
        <w:pStyle w:val="Heading1"/>
      </w:pPr>
      <w:r>
        <w:t>İçindekiler</w:t>
      </w:r>
    </w:p>
    <w:p>
      <w:pPr>
        <w:spacing w:after="60"/>
      </w:pPr>
      <w:r>
        <w:rPr>
          <w:b w:val="0"/>
          <w:i w:val="0"/>
        </w:rPr>
        <w:t>1. Projenin Amacı</w:t>
      </w:r>
    </w:p>
    <w:p>
      <w:pPr>
        <w:spacing w:after="60"/>
      </w:pPr>
      <w:r>
        <w:rPr>
          <w:b w:val="0"/>
          <w:i w:val="0"/>
        </w:rPr>
        <w:t>2. Kullanılan Veriler</w:t>
      </w:r>
    </w:p>
    <w:p>
      <w:pPr>
        <w:spacing w:after="60"/>
      </w:pPr>
      <w:r>
        <w:rPr>
          <w:b w:val="0"/>
          <w:i w:val="0"/>
        </w:rPr>
        <w:t>3. Yöntem — Neden “Hibrit”?</w:t>
      </w:r>
    </w:p>
    <w:p>
      <w:pPr>
        <w:spacing w:after="60"/>
      </w:pPr>
      <w:r>
        <w:rPr>
          <w:b w:val="0"/>
          <w:i w:val="0"/>
        </w:rPr>
        <w:t>4. Ana Sonuç: Kritik PGA</w:t>
      </w:r>
    </w:p>
    <w:p>
      <w:pPr>
        <w:spacing w:after="60"/>
      </w:pPr>
      <w:r>
        <w:rPr>
          <w:b w:val="0"/>
          <w:i w:val="0"/>
        </w:rPr>
        <w:t>5. Sonuçlar</w:t>
      </w:r>
    </w:p>
    <w:p>
      <w:pPr>
        <w:spacing w:after="60"/>
      </w:pPr>
      <w:r>
        <w:rPr>
          <w:b w:val="0"/>
          <w:i w:val="0"/>
        </w:rPr>
        <w:t>6. İnteraktif Uygulama</w:t>
      </w:r>
    </w:p>
    <w:p>
      <w:pPr>
        <w:spacing w:after="60"/>
      </w:pPr>
      <w:r>
        <w:rPr>
          <w:b w:val="0"/>
          <w:i w:val="0"/>
        </w:rPr>
        <w:t>7. Sürüm 1’e Göre Yapılan İyileştirmeler</w:t>
      </w:r>
    </w:p>
    <w:p>
      <w:pPr>
        <w:spacing w:after="60"/>
      </w:pPr>
      <w:r>
        <w:rPr>
          <w:b w:val="0"/>
          <w:i w:val="0"/>
        </w:rPr>
        <w:t>8. Bilinen Kısıtlar (Şeffaflık)</w:t>
      </w:r>
    </w:p>
    <w:tbl>
      <w:tblPr>
        <w:tblW w:type="auto" w:w="0"/>
        <w:jc w:val="center"/>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9502"/>
      </w:tblGrid>
      <w:tr>
        <w:tc>
          <w:tcPr>
            <w:tcW w:type="dxa" w:w="9468"/>
            <w:shd w:val="clear" w:color="auto" w:fill="FDF3E7"/>
          </w:tcPr>
          <w:p>
            <w:r>
              <w:rPr>
                <w:b/>
                <w:color w:val="C0392B"/>
                <w:sz w:val="20"/>
              </w:rPr>
              <w:t xml:space="preserve">Bu sürümde ne değişti? </w:t>
            </w:r>
            <w:r>
              <w:rPr>
                <w:b w:val="0"/>
                <w:i w:val="0"/>
                <w:sz w:val="20"/>
              </w:rPr>
              <w:t>Değerlendirme mekânsal blok çapraz doğrulamaya geçirildi, PINN kayıp fonksiyonuna fizik-yolu kısıtı eklendi, gerçek bir sonlu elemanlar (FEM-SSR) çözücüsü yazıldı ve Kritik PGA belirsizliğiyle birlikte raporlandı. Sürüm 1’in ROC-AUC 0,96 ve Kritik PGA ≈ 0,55 g değerleri bu raporda güncellenmiştir (bkz. Bölüm 7).</w:t>
            </w:r>
          </w:p>
        </w:tc>
      </w:tr>
    </w:tbl>
    <w:p>
      <w:pPr>
        <w:spacing w:after="40"/>
      </w:pPr>
    </w:p>
    <w:p>
      <w:r>
        <w:br w:type="page"/>
      </w:r>
    </w:p>
    <w:p>
      <w:pPr>
        <w:pStyle w:val="Heading1"/>
      </w:pPr>
      <w:r>
        <w:t>1. Projenin Amacı</w:t>
      </w:r>
    </w:p>
    <w:p>
      <w:r>
        <w:rPr>
          <w:b w:val="0"/>
          <w:i w:val="0"/>
        </w:rPr>
        <w:t xml:space="preserve">Bu proje tek bir soruya cevap arıyor: </w:t>
      </w:r>
      <w:r>
        <w:rPr>
          <w:b/>
          <w:i w:val="0"/>
        </w:rPr>
        <w:t>“Bir yamaç, deprem sırasında hangi yer sarsıntısı şiddetinde (PGA) kaymaya — heyelana — başlar?”</w:t>
      </w:r>
    </w:p>
    <w:p>
      <w:r>
        <w:rPr>
          <w:b w:val="0"/>
          <w:i w:val="0"/>
        </w:rPr>
        <w:t>6 Şubat 2023 Kahramanmaraş depremleri binlerce heyelanı tetikledi. Amacımız, deprem şiddeti (PGA) ile heyelan tetiklenmesi arasındaki kritik eşiği hem fizik denklemleriyle hem de gerçek heyelanlardan öğrenen yapay zekâ ile tahmin eden bir “dijital ikiz” (digital twin) kurmaktır.</w:t>
      </w:r>
    </w:p>
    <w:p>
      <w:r>
        <w:rPr>
          <w:b/>
          <w:i w:val="0"/>
          <w:color w:val="595959"/>
          <w:sz w:val="20"/>
        </w:rPr>
        <w:t>PGA (Peak Ground Acceleration):</w:t>
      </w:r>
      <w:r>
        <w:rPr>
          <w:b w:val="0"/>
          <w:i w:val="0"/>
          <w:color w:val="595959"/>
          <w:sz w:val="20"/>
        </w:rPr>
        <w:t xml:space="preserve"> Deprem sırasında zeminin ulaştığı en yüksek ivmedir; yerçekimi (g) cinsinden ölçülür. 0,5 g, yerçekiminin yarısı kadar yatay sarsıntı demektir.</w:t>
      </w:r>
    </w:p>
    <w:p>
      <w:pPr>
        <w:pStyle w:val="Heading1"/>
      </w:pPr>
      <w:r>
        <w:t>2. Kullanılan Veriler</w:t>
      </w:r>
    </w:p>
    <w:p>
      <w:r>
        <w:rPr>
          <w:b w:val="0"/>
          <w:i w:val="0"/>
        </w:rPr>
        <w:t>Modelin tamamı gerçek, kaynağı belli (atıf verilebilir) verilerle beslenir. Sentetik/uydurma girdi yoktur:</w:t>
      </w:r>
    </w:p>
    <w:tbl>
      <w:tblPr>
        <w:tblStyle w:val="TableGrid"/>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3167"/>
        <w:gridCol w:w="3167"/>
        <w:gridCol w:w="3167"/>
      </w:tblGrid>
      <w:tr>
        <w:tc>
          <w:tcPr>
            <w:tcW w:type="dxa" w:w="2041"/>
            <w:shd w:val="clear" w:color="auto" w:fill="1F3864"/>
            <w:vAlign w:val="center"/>
          </w:tcPr>
          <w:p>
            <w:pPr>
              <w:spacing w:after="20" w:before="20"/>
            </w:pPr>
            <w:r/>
            <w:r>
              <w:rPr>
                <w:b/>
                <w:color w:val="FFFFFF"/>
                <w:sz w:val="19"/>
              </w:rPr>
              <w:t>Veri Katmanı</w:t>
            </w:r>
          </w:p>
        </w:tc>
        <w:tc>
          <w:tcPr>
            <w:tcW w:type="dxa" w:w="3175"/>
            <w:shd w:val="clear" w:color="auto" w:fill="1F3864"/>
            <w:vAlign w:val="center"/>
          </w:tcPr>
          <w:p>
            <w:pPr>
              <w:spacing w:after="20" w:before="20"/>
            </w:pPr>
            <w:r/>
            <w:r>
              <w:rPr>
                <w:b/>
                <w:color w:val="FFFFFF"/>
                <w:sz w:val="19"/>
              </w:rPr>
              <w:t>Kaynak</w:t>
            </w:r>
          </w:p>
        </w:tc>
        <w:tc>
          <w:tcPr>
            <w:tcW w:type="dxa" w:w="4252"/>
            <w:shd w:val="clear" w:color="auto" w:fill="1F3864"/>
            <w:vAlign w:val="center"/>
          </w:tcPr>
          <w:p>
            <w:pPr>
              <w:spacing w:after="20" w:before="20"/>
            </w:pPr>
            <w:r/>
            <w:r>
              <w:rPr>
                <w:b/>
                <w:color w:val="FFFFFF"/>
                <w:sz w:val="19"/>
              </w:rPr>
              <w:t>Ne İşe Yarar</w:t>
            </w:r>
          </w:p>
        </w:tc>
      </w:tr>
      <w:tr>
        <w:tc>
          <w:tcPr>
            <w:tcW w:type="dxa" w:w="2041"/>
            <w:vAlign w:val="center"/>
          </w:tcPr>
          <w:p>
            <w:pPr>
              <w:spacing w:after="20" w:before="20"/>
            </w:pPr>
            <w:r>
              <w:rPr>
                <w:b w:val="0"/>
                <w:i w:val="0"/>
                <w:sz w:val="19"/>
              </w:rPr>
              <w:t>Yer ivmesi (PGA)</w:t>
            </w:r>
          </w:p>
        </w:tc>
        <w:tc>
          <w:tcPr>
            <w:tcW w:type="dxa" w:w="3175"/>
            <w:vAlign w:val="center"/>
          </w:tcPr>
          <w:p>
            <w:pPr>
              <w:spacing w:after="20" w:before="20"/>
            </w:pPr>
            <w:r>
              <w:rPr>
                <w:b w:val="0"/>
                <w:i w:val="0"/>
                <w:sz w:val="19"/>
              </w:rPr>
              <w:t>USGS ShakeMap (Mw 7,8 + Mw 7,5 zarfı)</w:t>
            </w:r>
          </w:p>
        </w:tc>
        <w:tc>
          <w:tcPr>
            <w:tcW w:type="dxa" w:w="4252"/>
            <w:vAlign w:val="center"/>
          </w:tcPr>
          <w:p>
            <w:pPr>
              <w:spacing w:after="20" w:before="20"/>
            </w:pPr>
            <w:r>
              <w:rPr>
                <w:b w:val="0"/>
                <w:i w:val="0"/>
                <w:sz w:val="19"/>
              </w:rPr>
              <w:t>Depremin her noktadaki sarsıntı şiddeti — modelin ana girdisi</w:t>
            </w:r>
          </w:p>
        </w:tc>
      </w:tr>
      <w:tr>
        <w:tc>
          <w:tcPr>
            <w:tcW w:type="dxa" w:w="2041"/>
            <w:shd w:val="clear" w:color="auto" w:fill="EEF2F8"/>
            <w:vAlign w:val="center"/>
          </w:tcPr>
          <w:p>
            <w:pPr>
              <w:spacing w:after="20" w:before="20"/>
            </w:pPr>
            <w:r>
              <w:rPr>
                <w:b w:val="0"/>
                <w:i w:val="0"/>
                <w:sz w:val="19"/>
              </w:rPr>
              <w:t>Yükseklik (DEM)</w:t>
            </w:r>
          </w:p>
        </w:tc>
        <w:tc>
          <w:tcPr>
            <w:tcW w:type="dxa" w:w="3175"/>
            <w:shd w:val="clear" w:color="auto" w:fill="EEF2F8"/>
            <w:vAlign w:val="center"/>
          </w:tcPr>
          <w:p>
            <w:pPr>
              <w:spacing w:after="20" w:before="20"/>
            </w:pPr>
            <w:r>
              <w:rPr>
                <w:b w:val="0"/>
                <w:i w:val="0"/>
                <w:sz w:val="19"/>
              </w:rPr>
              <w:t>Copernicus GLO-90 (90 m)</w:t>
            </w:r>
          </w:p>
        </w:tc>
        <w:tc>
          <w:tcPr>
            <w:tcW w:type="dxa" w:w="4252"/>
            <w:shd w:val="clear" w:color="auto" w:fill="EEF2F8"/>
            <w:vAlign w:val="center"/>
          </w:tcPr>
          <w:p>
            <w:pPr>
              <w:spacing w:after="20" w:before="20"/>
            </w:pPr>
            <w:r>
              <w:rPr>
                <w:b w:val="0"/>
                <w:i w:val="0"/>
                <w:sz w:val="19"/>
              </w:rPr>
              <w:t>Eğim ve bakı buradan hesaplanır</w:t>
            </w:r>
          </w:p>
        </w:tc>
      </w:tr>
      <w:tr>
        <w:tc>
          <w:tcPr>
            <w:tcW w:type="dxa" w:w="2041"/>
            <w:vAlign w:val="center"/>
          </w:tcPr>
          <w:p>
            <w:pPr>
              <w:spacing w:after="20" w:before="20"/>
            </w:pPr>
            <w:r>
              <w:rPr>
                <w:b w:val="0"/>
                <w:i w:val="0"/>
                <w:sz w:val="19"/>
              </w:rPr>
              <w:t>Eğim / Bakı</w:t>
            </w:r>
          </w:p>
        </w:tc>
        <w:tc>
          <w:tcPr>
            <w:tcW w:type="dxa" w:w="3175"/>
            <w:vAlign w:val="center"/>
          </w:tcPr>
          <w:p>
            <w:pPr>
              <w:spacing w:after="20" w:before="20"/>
            </w:pPr>
            <w:r>
              <w:rPr>
                <w:b w:val="0"/>
                <w:i w:val="0"/>
                <w:sz w:val="19"/>
              </w:rPr>
              <w:t>DEM’den (Horn 1981)</w:t>
            </w:r>
          </w:p>
        </w:tc>
        <w:tc>
          <w:tcPr>
            <w:tcW w:type="dxa" w:w="4252"/>
            <w:vAlign w:val="center"/>
          </w:tcPr>
          <w:p>
            <w:pPr>
              <w:spacing w:after="20" w:before="20"/>
            </w:pPr>
            <w:r>
              <w:rPr>
                <w:b w:val="0"/>
                <w:i w:val="0"/>
                <w:sz w:val="19"/>
              </w:rPr>
              <w:t>Dik yamaçlar heyelana daha yatkın</w:t>
            </w:r>
          </w:p>
        </w:tc>
      </w:tr>
      <w:tr>
        <w:tc>
          <w:tcPr>
            <w:tcW w:type="dxa" w:w="2041"/>
            <w:shd w:val="clear" w:color="auto" w:fill="EEF2F8"/>
            <w:vAlign w:val="center"/>
          </w:tcPr>
          <w:p>
            <w:pPr>
              <w:spacing w:after="20" w:before="20"/>
            </w:pPr>
            <w:r>
              <w:rPr>
                <w:b w:val="0"/>
                <w:i w:val="0"/>
                <w:sz w:val="19"/>
              </w:rPr>
              <w:t>Litoloji (kaya türü)</w:t>
            </w:r>
          </w:p>
        </w:tc>
        <w:tc>
          <w:tcPr>
            <w:tcW w:type="dxa" w:w="3175"/>
            <w:shd w:val="clear" w:color="auto" w:fill="EEF2F8"/>
            <w:vAlign w:val="center"/>
          </w:tcPr>
          <w:p>
            <w:pPr>
              <w:spacing w:after="20" w:before="20"/>
            </w:pPr>
            <w:r>
              <w:rPr>
                <w:b w:val="0"/>
                <w:i w:val="0"/>
                <w:sz w:val="19"/>
              </w:rPr>
              <w:t>Macrostrat jeoloji PROXY’si</w:t>
            </w:r>
          </w:p>
        </w:tc>
        <w:tc>
          <w:tcPr>
            <w:tcW w:type="dxa" w:w="4252"/>
            <w:shd w:val="clear" w:color="auto" w:fill="EEF2F8"/>
            <w:vAlign w:val="center"/>
          </w:tcPr>
          <w:p>
            <w:pPr>
              <w:spacing w:after="20" w:before="20"/>
            </w:pPr>
            <w:r>
              <w:rPr>
                <w:b w:val="0"/>
                <w:i w:val="0"/>
                <w:sz w:val="19"/>
              </w:rPr>
              <w:t>Kayanın dayanımı (kohezyon, sürtünme açısı)</w:t>
            </w:r>
          </w:p>
        </w:tc>
      </w:tr>
      <w:tr>
        <w:tc>
          <w:tcPr>
            <w:tcW w:type="dxa" w:w="2041"/>
            <w:vAlign w:val="center"/>
          </w:tcPr>
          <w:p>
            <w:pPr>
              <w:spacing w:after="20" w:before="20"/>
            </w:pPr>
            <w:r>
              <w:rPr>
                <w:b w:val="0"/>
                <w:i w:val="0"/>
                <w:sz w:val="19"/>
              </w:rPr>
              <w:t>Heyelan envanteri</w:t>
            </w:r>
          </w:p>
        </w:tc>
        <w:tc>
          <w:tcPr>
            <w:tcW w:type="dxa" w:w="3175"/>
            <w:vAlign w:val="center"/>
          </w:tcPr>
          <w:p>
            <w:pPr>
              <w:spacing w:after="20" w:before="20"/>
            </w:pPr>
            <w:r>
              <w:rPr>
                <w:b w:val="0"/>
                <w:i w:val="0"/>
                <w:sz w:val="19"/>
              </w:rPr>
              <w:t>Kocaman 2025 (2.596 poligon)</w:t>
            </w:r>
          </w:p>
        </w:tc>
        <w:tc>
          <w:tcPr>
            <w:tcW w:type="dxa" w:w="4252"/>
            <w:vAlign w:val="center"/>
          </w:tcPr>
          <w:p>
            <w:pPr>
              <w:spacing w:after="20" w:before="20"/>
            </w:pPr>
            <w:r>
              <w:rPr>
                <w:b w:val="0"/>
                <w:i w:val="0"/>
                <w:sz w:val="19"/>
              </w:rPr>
              <w:t>Modelin öğrendiği GERÇEK heyelan etiketleri</w:t>
            </w:r>
          </w:p>
        </w:tc>
      </w:tr>
      <w:tr>
        <w:tc>
          <w:tcPr>
            <w:tcW w:type="dxa" w:w="2041"/>
            <w:shd w:val="clear" w:color="auto" w:fill="EEF2F8"/>
            <w:vAlign w:val="center"/>
          </w:tcPr>
          <w:p>
            <w:pPr>
              <w:spacing w:after="20" w:before="20"/>
            </w:pPr>
            <w:r>
              <w:rPr>
                <w:b w:val="0"/>
                <w:i w:val="0"/>
                <w:sz w:val="19"/>
              </w:rPr>
              <w:t>Pürüzlülük, rölyef, eğrilik, TWI, dereye uzaklık</w:t>
            </w:r>
          </w:p>
        </w:tc>
        <w:tc>
          <w:tcPr>
            <w:tcW w:type="dxa" w:w="3175"/>
            <w:shd w:val="clear" w:color="auto" w:fill="EEF2F8"/>
            <w:vAlign w:val="center"/>
          </w:tcPr>
          <w:p>
            <w:pPr>
              <w:spacing w:after="20" w:before="20"/>
            </w:pPr>
            <w:r>
              <w:rPr>
                <w:b w:val="0"/>
                <w:i w:val="0"/>
                <w:sz w:val="19"/>
              </w:rPr>
              <w:t>Copernicus DEM türevleri</w:t>
            </w:r>
          </w:p>
        </w:tc>
        <w:tc>
          <w:tcPr>
            <w:tcW w:type="dxa" w:w="4252"/>
            <w:shd w:val="clear" w:color="auto" w:fill="EEF2F8"/>
            <w:vAlign w:val="center"/>
          </w:tcPr>
          <w:p>
            <w:pPr>
              <w:spacing w:after="20" w:before="20"/>
            </w:pPr>
            <w:r>
              <w:rPr>
                <w:b w:val="0"/>
                <w:i w:val="0"/>
                <w:sz w:val="19"/>
              </w:rPr>
              <w:t>Arazinin kırıklılığı ve su toplama</w:t>
            </w:r>
          </w:p>
        </w:tc>
      </w:tr>
      <w:tr>
        <w:tc>
          <w:tcPr>
            <w:tcW w:type="dxa" w:w="2041"/>
            <w:vAlign w:val="center"/>
          </w:tcPr>
          <w:p>
            <w:pPr>
              <w:spacing w:after="20" w:before="20"/>
            </w:pPr>
            <w:r>
              <w:rPr>
                <w:b w:val="0"/>
                <w:i w:val="0"/>
                <w:sz w:val="19"/>
              </w:rPr>
              <w:t>Aktif faya uzaklık</w:t>
            </w:r>
          </w:p>
        </w:tc>
        <w:tc>
          <w:tcPr>
            <w:tcW w:type="dxa" w:w="3175"/>
            <w:vAlign w:val="center"/>
          </w:tcPr>
          <w:p>
            <w:pPr>
              <w:spacing w:after="20" w:before="20"/>
            </w:pPr>
            <w:r>
              <w:rPr>
                <w:b w:val="0"/>
                <w:i w:val="0"/>
                <w:sz w:val="19"/>
              </w:rPr>
              <w:t>GEM Global Active Faults (açık)</w:t>
            </w:r>
          </w:p>
        </w:tc>
        <w:tc>
          <w:tcPr>
            <w:tcW w:type="dxa" w:w="4252"/>
            <w:vAlign w:val="center"/>
          </w:tcPr>
          <w:p>
            <w:pPr>
              <w:spacing w:after="20" w:before="20"/>
            </w:pPr>
            <w:r>
              <w:rPr>
                <w:b w:val="0"/>
                <w:i w:val="0"/>
                <w:sz w:val="19"/>
              </w:rPr>
              <w:t>Faya yakın kırıklı kaya — Kocaman’ın en etkili faktörlerinden</w:t>
            </w:r>
          </w:p>
        </w:tc>
      </w:tr>
      <w:tr>
        <w:tc>
          <w:tcPr>
            <w:tcW w:type="dxa" w:w="2041"/>
            <w:shd w:val="clear" w:color="auto" w:fill="EEF2F8"/>
            <w:vAlign w:val="center"/>
          </w:tcPr>
          <w:p>
            <w:pPr>
              <w:spacing w:after="20" w:before="20"/>
            </w:pPr>
            <w:r>
              <w:rPr>
                <w:b w:val="0"/>
                <w:i w:val="0"/>
                <w:sz w:val="19"/>
              </w:rPr>
              <w:t>Vs30, PGV, MMI, kırılma izi</w:t>
            </w:r>
          </w:p>
        </w:tc>
        <w:tc>
          <w:tcPr>
            <w:tcW w:type="dxa" w:w="3175"/>
            <w:shd w:val="clear" w:color="auto" w:fill="EEF2F8"/>
            <w:vAlign w:val="center"/>
          </w:tcPr>
          <w:p>
            <w:pPr>
              <w:spacing w:after="20" w:before="20"/>
            </w:pPr>
            <w:r>
              <w:rPr>
                <w:b w:val="0"/>
                <w:i w:val="0"/>
                <w:sz w:val="19"/>
              </w:rPr>
              <w:t>USGS ShakeMap (2 deprem)</w:t>
            </w:r>
          </w:p>
        </w:tc>
        <w:tc>
          <w:tcPr>
            <w:tcW w:type="dxa" w:w="4252"/>
            <w:shd w:val="clear" w:color="auto" w:fill="EEF2F8"/>
            <w:vAlign w:val="center"/>
          </w:tcPr>
          <w:p>
            <w:pPr>
              <w:spacing w:after="20" w:before="20"/>
            </w:pPr>
            <w:r>
              <w:rPr>
                <w:b w:val="0"/>
                <w:i w:val="0"/>
                <w:sz w:val="19"/>
              </w:rPr>
              <w:t>Zemin sınıfı ve sarsıntının diğer ölçüleri</w:t>
            </w:r>
          </w:p>
        </w:tc>
      </w:tr>
      <w:tr>
        <w:tc>
          <w:tcPr>
            <w:tcW w:type="dxa" w:w="2041"/>
            <w:vAlign w:val="center"/>
          </w:tcPr>
          <w:p>
            <w:pPr>
              <w:spacing w:after="20" w:before="20"/>
            </w:pPr>
            <w:r>
              <w:rPr>
                <w:b w:val="0"/>
                <w:i w:val="0"/>
                <w:sz w:val="19"/>
              </w:rPr>
              <w:t>Arazi örtüsü</w:t>
            </w:r>
          </w:p>
        </w:tc>
        <w:tc>
          <w:tcPr>
            <w:tcW w:type="dxa" w:w="3175"/>
            <w:vAlign w:val="center"/>
          </w:tcPr>
          <w:p>
            <w:pPr>
              <w:spacing w:after="20" w:before="20"/>
            </w:pPr>
            <w:r>
              <w:rPr>
                <w:b w:val="0"/>
                <w:i w:val="0"/>
                <w:sz w:val="19"/>
              </w:rPr>
              <w:t>ESA WorldCover 2021 (10 m)</w:t>
            </w:r>
          </w:p>
        </w:tc>
        <w:tc>
          <w:tcPr>
            <w:tcW w:type="dxa" w:w="4252"/>
            <w:vAlign w:val="center"/>
          </w:tcPr>
          <w:p>
            <w:pPr>
              <w:spacing w:after="20" w:before="20"/>
            </w:pPr>
            <w:r>
              <w:rPr>
                <w:b w:val="0"/>
                <w:i w:val="0"/>
                <w:sz w:val="19"/>
              </w:rPr>
              <w:t>Orman, çayır, tarım, çıplak alan</w:t>
            </w:r>
          </w:p>
        </w:tc>
      </w:tr>
      <w:tr>
        <w:tc>
          <w:tcPr>
            <w:tcW w:type="dxa" w:w="2041"/>
            <w:shd w:val="clear" w:color="auto" w:fill="EEF2F8"/>
            <w:vAlign w:val="center"/>
          </w:tcPr>
          <w:p>
            <w:pPr>
              <w:spacing w:after="20" w:before="20"/>
            </w:pPr>
            <w:r>
              <w:rPr>
                <w:b w:val="0"/>
                <w:i w:val="0"/>
                <w:sz w:val="19"/>
              </w:rPr>
              <w:t>Kil / kum oranı</w:t>
            </w:r>
          </w:p>
        </w:tc>
        <w:tc>
          <w:tcPr>
            <w:tcW w:type="dxa" w:w="3175"/>
            <w:shd w:val="clear" w:color="auto" w:fill="EEF2F8"/>
            <w:vAlign w:val="center"/>
          </w:tcPr>
          <w:p>
            <w:pPr>
              <w:spacing w:after="20" w:before="20"/>
            </w:pPr>
            <w:r>
              <w:rPr>
                <w:b w:val="0"/>
                <w:i w:val="0"/>
                <w:sz w:val="19"/>
              </w:rPr>
              <w:t>ISRIC SoilGrids 2.0 (250 m)</w:t>
            </w:r>
          </w:p>
        </w:tc>
        <w:tc>
          <w:tcPr>
            <w:tcW w:type="dxa" w:w="4252"/>
            <w:shd w:val="clear" w:color="auto" w:fill="EEF2F8"/>
            <w:vAlign w:val="center"/>
          </w:tcPr>
          <w:p>
            <w:pPr>
              <w:spacing w:after="20" w:before="20"/>
            </w:pPr>
            <w:r>
              <w:rPr>
                <w:b w:val="0"/>
                <w:i w:val="0"/>
                <w:sz w:val="19"/>
              </w:rPr>
              <w:t>Yüzey zeminin dokusu</w:t>
            </w:r>
          </w:p>
        </w:tc>
      </w:tr>
      <w:tr>
        <w:tc>
          <w:tcPr>
            <w:tcW w:type="dxa" w:w="2041"/>
            <w:vAlign w:val="center"/>
          </w:tcPr>
          <w:p>
            <w:pPr>
              <w:spacing w:after="20" w:before="20"/>
            </w:pPr>
            <w:r>
              <w:rPr>
                <w:b w:val="0"/>
                <w:i w:val="0"/>
                <w:sz w:val="19"/>
              </w:rPr>
              <w:t>İvme kayıtları</w:t>
            </w:r>
          </w:p>
        </w:tc>
        <w:tc>
          <w:tcPr>
            <w:tcW w:type="dxa" w:w="3175"/>
            <w:vAlign w:val="center"/>
          </w:tcPr>
          <w:p>
            <w:pPr>
              <w:spacing w:after="20" w:before="20"/>
            </w:pPr>
            <w:r>
              <w:rPr>
                <w:b w:val="0"/>
                <w:i w:val="0"/>
                <w:sz w:val="19"/>
              </w:rPr>
              <w:t>AFAD TK ağı, ESM veritabanı (136 kayıt)</w:t>
            </w:r>
          </w:p>
        </w:tc>
        <w:tc>
          <w:tcPr>
            <w:tcW w:type="dxa" w:w="4252"/>
            <w:vAlign w:val="center"/>
          </w:tcPr>
          <w:p>
            <w:pPr>
              <w:spacing w:after="20" w:before="20"/>
            </w:pPr>
            <w:r>
              <w:rPr>
                <w:b w:val="0"/>
                <w:i w:val="0"/>
                <w:sz w:val="19"/>
              </w:rPr>
              <w:t>Kayma simülasyonu (zaman-tanım Newmark)</w:t>
            </w:r>
          </w:p>
        </w:tc>
      </w:tr>
    </w:tbl>
    <w:p>
      <w:pPr>
        <w:spacing w:after="40"/>
      </w:pPr>
    </w:p>
    <w:p>
      <w:r>
        <w:rPr>
          <w:b w:val="0"/>
          <w:i w:val="0"/>
        </w:rPr>
        <w:t>Envanterden 89.397 örnek nokta üretildi (%28,6 heyelan; negatifler heyelanlardan en az 200 m uzaktaki rastgele arka plan noktalarıdır).</w:t>
      </w:r>
    </w:p>
    <w:tbl>
      <w:tblPr>
        <w:tblW w:type="auto" w:w="0"/>
        <w:jc w:val="center"/>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9502"/>
      </w:tblGrid>
      <w:tr>
        <w:tc>
          <w:tcPr>
            <w:tcW w:type="dxa" w:w="9468"/>
            <w:shd w:val="clear" w:color="auto" w:fill="FDF3E7"/>
          </w:tcPr>
          <w:p>
            <w:r>
              <w:rPr>
                <w:b/>
                <w:color w:val="C0392B"/>
                <w:sz w:val="20"/>
              </w:rPr>
              <w:t xml:space="preserve">Not: </w:t>
            </w:r>
            <w:r>
              <w:rPr>
                <w:b w:val="0"/>
                <w:i w:val="0"/>
                <w:sz w:val="20"/>
              </w:rPr>
              <w:t>Litoloji katmanı resmi MTA 1:100.000 haritası değil, Macrostrat API tabanlı bir jeolojik birim proxy’sidir (~5 km çözünürlük). Bu, raporda açıkça belirtilen bilinçli bir kısıttır (bkz. Bölüm 8).</w:t>
            </w:r>
          </w:p>
        </w:tc>
      </w:tr>
    </w:tbl>
    <w:p>
      <w:pPr>
        <w:spacing w:after="40"/>
      </w:pPr>
    </w:p>
    <w:p>
      <w:pPr>
        <w:pStyle w:val="Heading1"/>
      </w:pPr>
      <w:r>
        <w:t>3. Yöntem — Neden “Hibrit”?</w:t>
      </w:r>
    </w:p>
    <w:p>
      <w:r>
        <w:rPr>
          <w:b w:val="0"/>
          <w:i w:val="0"/>
        </w:rPr>
        <w:t>İki dünyayı birleştiriyoruz. Tek başına her biri eksik; birlikte güçlü: fizik, mekanizmayı ve sınırları verir; yapay zekâ, gerçek heyelanlardan fiziğin tek başına yakalayamadığı örüntüleri öğrenir.</w:t>
      </w:r>
    </w:p>
    <w:p>
      <w:pPr>
        <w:pStyle w:val="Heading2"/>
      </w:pPr>
      <w:r>
        <w:t>3.1 Fizik Tarafı (Mohr-Coulomb + Newmark)</w:t>
      </w:r>
    </w:p>
    <w:p>
      <w:pPr>
        <w:pStyle w:val="ListBullet"/>
        <w:spacing w:after="60"/>
      </w:pPr>
      <w:r>
        <w:rPr>
          <w:b/>
          <w:i w:val="0"/>
        </w:rPr>
        <w:t>Statik güvenlik faktörü (FS):</w:t>
      </w:r>
      <w:r>
        <w:rPr>
          <w:b w:val="0"/>
          <w:i w:val="0"/>
        </w:rPr>
        <w:t xml:space="preserve"> Sonsuz şev modeliyle, kayaç dayanımı (c′, φ′) ve eğimden hesaplanır.</w:t>
      </w:r>
    </w:p>
    <w:p>
      <w:pPr>
        <w:pStyle w:val="ListBullet"/>
        <w:spacing w:after="60"/>
      </w:pPr>
      <w:r>
        <w:rPr>
          <w:b/>
          <w:i w:val="0"/>
        </w:rPr>
        <w:t>Kritik ivme (Kᵧ):</w:t>
      </w:r>
      <w:r>
        <w:rPr>
          <w:b w:val="0"/>
          <w:i w:val="0"/>
        </w:rPr>
        <w:t xml:space="preserve"> Bir yamacın kaymaya başlaması için gereken en düşük ivme: Kᵧ = (FS − 1)·sin θ. Dik ve zayıf kaya → düşük Kᵧ (kolay kayar).</w:t>
      </w:r>
    </w:p>
    <w:p>
      <w:pPr>
        <w:pStyle w:val="ListBullet"/>
        <w:spacing w:after="60"/>
      </w:pPr>
      <w:r>
        <w:rPr>
          <w:b/>
          <w:i w:val="0"/>
        </w:rPr>
        <w:t>Newmark yer değiştirmesi (Dₙ):</w:t>
      </w:r>
      <w:r>
        <w:rPr>
          <w:b w:val="0"/>
          <w:i w:val="0"/>
        </w:rPr>
        <w:t xml:space="preserve"> Deprem boyunca yamacın biriktirdiği kalıcı kayma (cm); Jibson (2007) denklemiyle hesaplanır. Dₙ ≥ 10 cm ise yamaç “tetiklenmiş” kabul edilir.</w:t>
      </w:r>
    </w:p>
    <w:p>
      <w:pPr>
        <w:pStyle w:val="Heading2"/>
      </w:pPr>
      <w:r>
        <w:t>3.2 Sonlu Elemanlar (FEM — Kayma Dayanımı Azaltma)</w:t>
      </w:r>
    </w:p>
    <w:p>
      <w:r>
        <w:rPr>
          <w:b w:val="0"/>
          <w:i w:val="0"/>
        </w:rPr>
        <w:t xml:space="preserve">Sürüm 2’de, Griffiths &amp; Lane (1999) elasto-viskoplastik </w:t>
      </w:r>
      <w:r>
        <w:rPr>
          <w:b/>
          <w:i w:val="0"/>
        </w:rPr>
        <w:t>Kayma Dayanımı Azaltma (SSR)</w:t>
      </w:r>
      <w:r>
        <w:rPr>
          <w:b w:val="0"/>
          <w:i w:val="0"/>
        </w:rPr>
        <w:t xml:space="preserve"> yöntemi projeye kazandırıldı. Yamaç kesiti 8 düğümlü dörtgen elemanlara bölünür; dayanım parametreleri, çözüm yakınsamayı kaybedene (yamaç göçene) kadar azaltılır. Bu oran güvenlik faktörüdür. Yatay deprem kuvveti eklenerek FEM’den kritik ivme (Kᵧ,FEM) de bulunur. Çözücü, literatürdeki kıyas problemiyle doğrulanmıştır (FS = 1,35; Bishop-Morgenstern 1,38).</w:t>
      </w:r>
    </w:p>
    <w:p>
      <w:pPr>
        <w:pStyle w:val="Heading2"/>
      </w:pPr>
      <w:r>
        <w:t>3.3 Yapay Zekâ Tarafı (PINN v2)</w:t>
      </w:r>
    </w:p>
    <w:p>
      <w:r>
        <w:rPr>
          <w:b w:val="0"/>
          <w:i w:val="0"/>
        </w:rPr>
        <w:t>PINN (Physics-Informed Neural Network) = Fizik-Bilgili Sinir Ağı. Model, 54 öznitelikten (eğim, yükseklik, bakı, PGA, Kᵧ, log Dₙ, litoloji sınıfları ve dayanım parametreleri) her nokta için 0–1 arası bir heyelan olasılığı üretir.</w:t>
      </w:r>
    </w:p>
    <w:p>
      <w:r>
        <w:rPr>
          <w:b w:val="0"/>
          <w:i w:val="0"/>
        </w:rPr>
        <w:t>Fizik bilgisi kayıp fonksiyonuna üç şekilde girer:</w:t>
      </w:r>
    </w:p>
    <w:p>
      <w:pPr>
        <w:pStyle w:val="ListBullet"/>
        <w:spacing w:after="60"/>
      </w:pPr>
      <w:r>
        <w:rPr>
          <w:b/>
          <w:i w:val="0"/>
        </w:rPr>
        <w:t>Focal Loss:</w:t>
      </w:r>
      <w:r>
        <w:rPr>
          <w:b w:val="0"/>
          <w:i w:val="0"/>
        </w:rPr>
        <w:t xml:space="preserve"> Az sayıdaki heyelan örneğinin göz ardı edilmemesini sağlar.</w:t>
      </w:r>
    </w:p>
    <w:p>
      <w:pPr>
        <w:pStyle w:val="ListBullet"/>
        <w:spacing w:after="60"/>
      </w:pPr>
      <w:r>
        <w:rPr>
          <w:b/>
          <w:i w:val="0"/>
        </w:rPr>
        <w:t>Stabilite cezası:</w:t>
      </w:r>
      <w:r>
        <w:rPr>
          <w:b w:val="0"/>
          <w:i w:val="0"/>
        </w:rPr>
        <w:t xml:space="preserve"> Düz (eğim &lt; 10°) ve zayıf sarsıntılı (PGA &lt; 0,1 g) bölgede yüksek heyelan tahmini cezalandırılır.</w:t>
      </w:r>
    </w:p>
    <w:p>
      <w:pPr>
        <w:pStyle w:val="ListBullet"/>
        <w:spacing w:after="60"/>
      </w:pPr>
      <w:r>
        <w:rPr>
          <w:b/>
          <w:i w:val="0"/>
        </w:rPr>
        <w:t>Fizik-yolu kısıtı (yeni):</w:t>
      </w:r>
      <w:r>
        <w:rPr>
          <w:b w:val="0"/>
          <w:i w:val="0"/>
        </w:rPr>
        <w:t xml:space="preserve"> Eğitim sırasında her noktanın PGA’sı veya eğimi küçük bir adım artırılır; Kᵧ ve Dₙ fizik denklemleriyle yeniden hesaplanır. Model bu durumda heyelan olasılığını düşürürse cezalandırılır. Böylece “deprem şiddetlenince veya yamaç dikleşince risk azalmaz” fiziksel kuralı modele öğretilir. Bu, PINN literatüründeki kolokasyon noktalarının karşılığıdır.</w:t>
      </w:r>
    </w:p>
    <w:p>
      <w:pPr>
        <w:pStyle w:val="Heading2"/>
      </w:pPr>
      <w:r>
        <w:t>3.4 Değerlendirme — Mekânsal Blok Doğrulama</w:t>
      </w:r>
    </w:p>
    <w:p>
      <w:r>
        <w:rPr>
          <w:b w:val="0"/>
          <w:i w:val="0"/>
        </w:rPr>
        <w:t>Heyelanlar kümelenir: komşu heyelanlar aynı yamaçta, aynı kayaçta ve aynı sarsıntı hücresindedir. Bu yüzden çalışma alanı 0,25° (≈ 25 km) karelere bölündü; bir karenin tüm örnekleri ya eğitimde ya testte yer alır. Model, eğitimde hiç görmediği coğrafi bölgelerde sınanır (5 katlı çapraz doğrulama). Karar eşiği yalnız doğrulama bloklarında seçilir.</w:t>
      </w:r>
    </w:p>
    <w:p>
      <w:r>
        <w:br w:type="page"/>
      </w:r>
    </w:p>
    <w:p>
      <w:pPr>
        <w:pStyle w:val="Heading1"/>
      </w:pPr>
      <w:r>
        <w:t>4. Ana Sonuç: Kritik PGA</w:t>
      </w:r>
    </w:p>
    <w:p>
      <w:r>
        <w:rPr>
          <w:b w:val="0"/>
          <w:i w:val="0"/>
        </w:rPr>
        <w:t xml:space="preserve">Aşağıdaki grafik projenin kalbidir ve şu soruyu yanıtlar: </w:t>
      </w:r>
      <w:r>
        <w:rPr>
          <w:b/>
          <w:i w:val="0"/>
        </w:rPr>
        <w:t>“Dik yamaçlar hangi PGA’da kaymaya başlar?”</w:t>
      </w:r>
    </w:p>
    <w:p>
      <w:pPr>
        <w:keepNext/>
        <w:jc w:val="center"/>
      </w:pPr>
      <w:r>
        <w:drawing>
          <wp:inline xmlns:a="http://schemas.openxmlformats.org/drawingml/2006/main" xmlns:pic="http://schemas.openxmlformats.org/drawingml/2006/picture">
            <wp:extent cx="5760000" cy="3637895"/>
            <wp:docPr id="1" name="Picture 1"/>
            <wp:cNvGraphicFramePr>
              <a:graphicFrameLocks noChangeAspect="1"/>
            </wp:cNvGraphicFramePr>
            <a:graphic>
              <a:graphicData uri="http://schemas.openxmlformats.org/drawingml/2006/picture">
                <pic:pic>
                  <pic:nvPicPr>
                    <pic:cNvPr id="0" name="critical_pga_uncertainty.png"/>
                    <pic:cNvPicPr/>
                  </pic:nvPicPr>
                  <pic:blipFill>
                    <a:blip r:embed="rId9"/>
                    <a:stretch>
                      <a:fillRect/>
                    </a:stretch>
                  </pic:blipFill>
                  <pic:spPr>
                    <a:xfrm>
                      <a:off x="0" y="0"/>
                      <a:ext cx="5760000" cy="3637895"/>
                    </a:xfrm>
                    <a:prstGeom prst="rect"/>
                  </pic:spPr>
                </pic:pic>
              </a:graphicData>
            </a:graphic>
          </wp:inline>
        </w:drawing>
      </w:r>
    </w:p>
    <w:p>
      <w:pPr>
        <w:spacing w:after="200"/>
        <w:jc w:val="center"/>
      </w:pPr>
      <w:r>
        <w:rPr>
          <w:b w:val="0"/>
          <w:i/>
          <w:color w:val="595959"/>
          <w:sz w:val="19"/>
        </w:rPr>
        <w:t>Şekil 1. Kritik PGA analizi — en dik %5 yamaç (eğim ≥ 22.3°. n = 7.394 hücre). Mavi: PINN v2 (6 model ortalaması. bant: model aralığı); turuncu: Newmark.</w:t>
      </w:r>
    </w:p>
    <w:p>
      <w:pPr>
        <w:pStyle w:val="Heading2"/>
      </w:pPr>
      <w:r>
        <w:t>Grafik nasıl okunur?</w:t>
      </w:r>
    </w:p>
    <w:p>
      <w:pPr>
        <w:pStyle w:val="ListBullet"/>
        <w:spacing w:after="60"/>
      </w:pPr>
      <w:r>
        <w:rPr>
          <w:b/>
          <w:i w:val="0"/>
        </w:rPr>
        <w:t>Yatay eksen:</w:t>
      </w:r>
      <w:r>
        <w:rPr>
          <w:b w:val="0"/>
          <w:i w:val="0"/>
        </w:rPr>
        <w:t xml:space="preserve"> PGA (deprem sarsıntı şiddeti), soldan sağa artar.</w:t>
      </w:r>
    </w:p>
    <w:p>
      <w:pPr>
        <w:pStyle w:val="ListBullet"/>
        <w:spacing w:after="60"/>
      </w:pPr>
      <w:r>
        <w:rPr>
          <w:b/>
          <w:i w:val="0"/>
        </w:rPr>
        <w:t>Dikey eksen:</w:t>
      </w:r>
      <w:r>
        <w:rPr>
          <w:b w:val="0"/>
          <w:i w:val="0"/>
        </w:rPr>
        <w:t xml:space="preserve"> Heyelan olasılığı / tetiklenen yamaç oranı (0–1).</w:t>
      </w:r>
    </w:p>
    <w:p>
      <w:pPr>
        <w:pStyle w:val="ListBullet"/>
        <w:spacing w:after="60"/>
      </w:pPr>
      <w:r>
        <w:rPr>
          <w:b/>
          <w:i w:val="0"/>
        </w:rPr>
        <w:t>Mavi çizgi (ML):</w:t>
      </w:r>
      <w:r>
        <w:rPr>
          <w:b w:val="0"/>
          <w:i w:val="0"/>
        </w:rPr>
        <w:t xml:space="preserve"> 6 modelin (nihai model + 5 doğrulama katı) en dik %5 yamaç için ortalama heyelan olasılığı; açık mavi bant modeller arası farkı gösterir.</w:t>
      </w:r>
    </w:p>
    <w:p>
      <w:pPr>
        <w:pStyle w:val="ListBullet"/>
        <w:spacing w:after="60"/>
      </w:pPr>
      <w:r>
        <w:rPr>
          <w:b/>
          <w:i w:val="0"/>
        </w:rPr>
        <w:t>Turuncu kesikli çizgi (Fizik):</w:t>
      </w:r>
      <w:r>
        <w:rPr>
          <w:b w:val="0"/>
          <w:i w:val="0"/>
        </w:rPr>
        <w:t xml:space="preserve"> Saf Newmark denklemiyle 10 cm eşiğini aşan yamaçların oranı.</w:t>
      </w:r>
    </w:p>
    <w:p>
      <w:pPr>
        <w:pStyle w:val="ListBullet"/>
        <w:spacing w:after="60"/>
      </w:pPr>
      <w:r>
        <w:rPr>
          <w:b/>
          <w:i w:val="0"/>
        </w:rPr>
        <w:t>Noktalı yatay çizgiler:</w:t>
      </w:r>
      <w:r>
        <w:rPr>
          <w:b w:val="0"/>
          <w:i w:val="0"/>
        </w:rPr>
        <w:t xml:space="preserve"> P = 0,5 karar düzeyi ve LR = 1 (heyelan lehine başlangıç) düzeyi.</w:t>
      </w:r>
    </w:p>
    <w:p>
      <w:r>
        <w:rPr>
          <w:b/>
          <w:i w:val="0"/>
          <w:color w:val="1F3864"/>
        </w:rPr>
        <w:t>Sonuç:</w:t>
      </w:r>
      <w:r>
        <w:rPr>
          <w:b w:val="0"/>
          <w:i w:val="0"/>
          <w:color w:val="1F3864"/>
        </w:rPr>
        <w:t xml:space="preserve"> Ortalama eğri 0,5 düzeyini </w:t>
      </w:r>
      <w:r>
        <w:rPr>
          <w:b/>
          <w:i w:val="0"/>
          <w:color w:val="1F3864"/>
        </w:rPr>
        <w:t>≈ 0,59 g</w:t>
      </w:r>
      <w:r>
        <w:rPr>
          <w:b w:val="0"/>
          <w:i w:val="0"/>
          <w:color w:val="1F3864"/>
        </w:rPr>
        <w:t>’de geçiyor (model belirsizliği 0,50–0,80 g). Ayrıca dik yamaçların heyelan lehine dönmeye başladığı eşik (LR = 1) ≈ 0,08 g; bu değer envanterden doğrudan hesaplanan ampirik eşikle (0,09 g) örtüşüyor.</w:t>
      </w:r>
    </w:p>
    <w:p>
      <w:pPr>
        <w:pStyle w:val="Heading2"/>
      </w:pPr>
      <w:r>
        <w:t>Kritik PGA’nın farklı tanımları</w:t>
      </w:r>
    </w:p>
    <w:tbl>
      <w:tblPr>
        <w:tblStyle w:val="TableGrid"/>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3167"/>
        <w:gridCol w:w="3167"/>
        <w:gridCol w:w="3167"/>
      </w:tblGrid>
      <w:tr>
        <w:tc>
          <w:tcPr>
            <w:tcW w:type="dxa" w:w="3175"/>
            <w:shd w:val="clear" w:color="auto" w:fill="1F3864"/>
            <w:vAlign w:val="center"/>
          </w:tcPr>
          <w:p>
            <w:pPr>
              <w:spacing w:after="20" w:before="20"/>
            </w:pPr>
            <w:r/>
            <w:r>
              <w:rPr>
                <w:b/>
                <w:color w:val="FFFFFF"/>
                <w:sz w:val="19"/>
              </w:rPr>
              <w:t>Tanım</w:t>
            </w:r>
          </w:p>
        </w:tc>
        <w:tc>
          <w:tcPr>
            <w:tcW w:type="dxa" w:w="1247"/>
            <w:shd w:val="clear" w:color="auto" w:fill="1F3864"/>
            <w:vAlign w:val="center"/>
          </w:tcPr>
          <w:p>
            <w:pPr>
              <w:spacing w:after="20" w:before="20"/>
              <w:jc w:val="right"/>
            </w:pPr>
            <w:r/>
            <w:r>
              <w:rPr>
                <w:b/>
                <w:color w:val="FFFFFF"/>
                <w:sz w:val="19"/>
              </w:rPr>
              <w:t>Değer</w:t>
            </w:r>
          </w:p>
        </w:tc>
        <w:tc>
          <w:tcPr>
            <w:tcW w:type="dxa" w:w="5046"/>
            <w:shd w:val="clear" w:color="auto" w:fill="1F3864"/>
            <w:vAlign w:val="center"/>
          </w:tcPr>
          <w:p>
            <w:pPr>
              <w:spacing w:after="20" w:before="20"/>
              <w:jc w:val="right"/>
            </w:pPr>
            <w:r/>
            <w:r>
              <w:rPr>
                <w:b/>
                <w:color w:val="FFFFFF"/>
                <w:sz w:val="19"/>
              </w:rPr>
              <w:t>Belirsizlik / Not</w:t>
            </w:r>
          </w:p>
        </w:tc>
      </w:tr>
      <w:tr>
        <w:tc>
          <w:tcPr>
            <w:tcW w:type="dxa" w:w="3175"/>
            <w:vAlign w:val="center"/>
          </w:tcPr>
          <w:p>
            <w:pPr>
              <w:spacing w:after="20" w:before="20"/>
            </w:pPr>
            <w:r>
              <w:rPr>
                <w:b w:val="0"/>
                <w:i w:val="0"/>
                <w:sz w:val="19"/>
              </w:rPr>
              <w:t>P = 0,5 (6 model ortalama eğrisi)</w:t>
            </w:r>
          </w:p>
        </w:tc>
        <w:tc>
          <w:tcPr>
            <w:tcW w:type="dxa" w:w="1247"/>
            <w:vAlign w:val="center"/>
          </w:tcPr>
          <w:p>
            <w:pPr>
              <w:spacing w:after="20" w:before="20"/>
              <w:jc w:val="right"/>
            </w:pPr>
            <w:r>
              <w:rPr>
                <w:b w:val="0"/>
                <w:i w:val="0"/>
                <w:sz w:val="19"/>
              </w:rPr>
              <w:t>0,59 g</w:t>
            </w:r>
          </w:p>
        </w:tc>
        <w:tc>
          <w:tcPr>
            <w:tcW w:type="dxa" w:w="5046"/>
            <w:vAlign w:val="center"/>
          </w:tcPr>
          <w:p>
            <w:pPr>
              <w:spacing w:after="20" w:before="20"/>
              <w:jc w:val="right"/>
            </w:pPr>
            <w:r>
              <w:rPr>
                <w:b w:val="0"/>
                <w:i w:val="0"/>
                <w:sz w:val="19"/>
              </w:rPr>
              <w:t>Modeller 0,50–0,80 g; bootstrap %95: 0,58–0,60 g</w:t>
            </w:r>
          </w:p>
        </w:tc>
      </w:tr>
      <w:tr>
        <w:tc>
          <w:tcPr>
            <w:tcW w:type="dxa" w:w="3175"/>
            <w:shd w:val="clear" w:color="auto" w:fill="EEF2F8"/>
            <w:vAlign w:val="center"/>
          </w:tcPr>
          <w:p>
            <w:pPr>
              <w:spacing w:after="20" w:before="20"/>
            </w:pPr>
            <w:r>
              <w:rPr>
                <w:b w:val="0"/>
                <w:i w:val="0"/>
                <w:sz w:val="19"/>
              </w:rPr>
              <w:t>Başlangıç: olabilirlik oranı LR = 1</w:t>
            </w:r>
          </w:p>
        </w:tc>
        <w:tc>
          <w:tcPr>
            <w:tcW w:type="dxa" w:w="1247"/>
            <w:shd w:val="clear" w:color="auto" w:fill="EEF2F8"/>
            <w:vAlign w:val="center"/>
          </w:tcPr>
          <w:p>
            <w:pPr>
              <w:spacing w:after="20" w:before="20"/>
              <w:jc w:val="right"/>
            </w:pPr>
            <w:r>
              <w:rPr>
                <w:b w:val="0"/>
                <w:i w:val="0"/>
                <w:sz w:val="19"/>
              </w:rPr>
              <w:t>0,08 g</w:t>
            </w:r>
          </w:p>
        </w:tc>
        <w:tc>
          <w:tcPr>
            <w:tcW w:type="dxa" w:w="5046"/>
            <w:shd w:val="clear" w:color="auto" w:fill="EEF2F8"/>
            <w:vAlign w:val="center"/>
          </w:tcPr>
          <w:p>
            <w:pPr>
              <w:spacing w:after="20" w:before="20"/>
              <w:jc w:val="right"/>
            </w:pPr>
            <w:r>
              <w:rPr>
                <w:b w:val="0"/>
                <w:i w:val="0"/>
                <w:sz w:val="19"/>
              </w:rPr>
              <w:t>Modeller 0,02–0,16 g</w:t>
            </w:r>
          </w:p>
        </w:tc>
      </w:tr>
      <w:tr>
        <w:tc>
          <w:tcPr>
            <w:tcW w:type="dxa" w:w="3175"/>
            <w:vAlign w:val="center"/>
          </w:tcPr>
          <w:p>
            <w:pPr>
              <w:spacing w:after="20" w:before="20"/>
            </w:pPr>
            <w:r>
              <w:rPr>
                <w:b w:val="0"/>
                <w:i w:val="0"/>
                <w:sz w:val="19"/>
              </w:rPr>
              <w:t>Ampirik başlangıç: gözlenen Frekans Oranı = 1</w:t>
            </w:r>
          </w:p>
        </w:tc>
        <w:tc>
          <w:tcPr>
            <w:tcW w:type="dxa" w:w="1247"/>
            <w:vAlign w:val="center"/>
          </w:tcPr>
          <w:p>
            <w:pPr>
              <w:spacing w:after="20" w:before="20"/>
              <w:jc w:val="right"/>
            </w:pPr>
            <w:r>
              <w:rPr>
                <w:b w:val="0"/>
                <w:i w:val="0"/>
                <w:sz w:val="19"/>
              </w:rPr>
              <w:t>0,09 g</w:t>
            </w:r>
          </w:p>
        </w:tc>
        <w:tc>
          <w:tcPr>
            <w:tcW w:type="dxa" w:w="5046"/>
            <w:vAlign w:val="center"/>
          </w:tcPr>
          <w:p>
            <w:pPr>
              <w:spacing w:after="20" w:before="20"/>
              <w:jc w:val="right"/>
            </w:pPr>
            <w:r>
              <w:rPr>
                <w:b w:val="0"/>
                <w:i w:val="0"/>
                <w:sz w:val="19"/>
              </w:rPr>
              <w:t>Doğrudan envanterden, modelden bağımsız</w:t>
            </w:r>
          </w:p>
        </w:tc>
      </w:tr>
      <w:tr>
        <w:tc>
          <w:tcPr>
            <w:tcW w:type="dxa" w:w="3175"/>
            <w:shd w:val="clear" w:color="auto" w:fill="EEF2F8"/>
            <w:vAlign w:val="center"/>
          </w:tcPr>
          <w:p>
            <w:pPr>
              <w:spacing w:after="20" w:before="20"/>
            </w:pPr>
            <w:r>
              <w:rPr>
                <w:b w:val="0"/>
                <w:i w:val="0"/>
                <w:sz w:val="19"/>
              </w:rPr>
              <w:t>Newmark rijit-blok (Dₙ ≥ 10 cm, %50)</w:t>
            </w:r>
          </w:p>
        </w:tc>
        <w:tc>
          <w:tcPr>
            <w:tcW w:type="dxa" w:w="1247"/>
            <w:shd w:val="clear" w:color="auto" w:fill="EEF2F8"/>
            <w:vAlign w:val="center"/>
          </w:tcPr>
          <w:p>
            <w:pPr>
              <w:spacing w:after="20" w:before="20"/>
              <w:jc w:val="right"/>
            </w:pPr>
            <w:r>
              <w:rPr>
                <w:b w:val="0"/>
                <w:i w:val="0"/>
                <w:sz w:val="19"/>
              </w:rPr>
              <w:t>1,29 g</w:t>
            </w:r>
          </w:p>
        </w:tc>
        <w:tc>
          <w:tcPr>
            <w:tcW w:type="dxa" w:w="5046"/>
            <w:shd w:val="clear" w:color="auto" w:fill="EEF2F8"/>
            <w:vAlign w:val="center"/>
          </w:tcPr>
          <w:p>
            <w:pPr>
              <w:spacing w:after="20" w:before="20"/>
              <w:jc w:val="right"/>
            </w:pPr>
            <w:r>
              <w:rPr>
                <w:b w:val="0"/>
                <w:i w:val="0"/>
                <w:sz w:val="19"/>
              </w:rPr>
              <w:t>Fiziğin alt sınırı; çok muhafazakâr</w:t>
            </w:r>
          </w:p>
        </w:tc>
      </w:tr>
    </w:tbl>
    <w:p>
      <w:pPr>
        <w:spacing w:after="40"/>
      </w:pPr>
    </w:p>
    <w:p>
      <w:r>
        <w:rPr>
          <w:b/>
          <w:i w:val="0"/>
          <w:sz w:val="20"/>
        </w:rPr>
        <w:t>LR = 1 ne demek?</w:t>
      </w:r>
      <w:r>
        <w:rPr>
          <w:b w:val="0"/>
          <w:i w:val="0"/>
          <w:sz w:val="20"/>
        </w:rPr>
        <w:t xml:space="preserve"> Dik yamaçların, heyelanlı alanlarda bölgenin geneline göre daha sık görülmeye başladığı nokta. Türkiye’de yaygın kullanılan Frekans Oranı (FR) yönteminin olasılıksal karşılığıdır. Modelin bulduğu başlangıç değeri, envanterden doğrudan hesaplanan değerle uyumludur.</w:t>
      </w:r>
    </w:p>
    <w:p>
      <w:pPr>
        <w:pStyle w:val="Heading2"/>
      </w:pPr>
      <w:r>
        <w:t>İki çizgi neden farklı?</w:t>
      </w:r>
    </w:p>
    <w:p>
      <w:r>
        <w:rPr>
          <w:b w:val="0"/>
          <w:i w:val="0"/>
        </w:rPr>
        <w:t>Mavi (ML) çizgi, turuncudan (fizik) çok daha erken yükselir. Gerçek heyelanlardan öğrenen model; dayanım kaybını, ivme büyütmesini (topografik amplifikasyon) ve süreksizlikleri yakalar. Saf rijit-blok Newmark bunları içermez ve litoloji proxy’sinin ortalama dayanım değerlerini kullanır; bu yüzden gerçek tetiklenmeyi olduğundan az tahmin eder, yani alt sınır verir. Bu fark, hibrit yaklaşımın neden gerekli olduğunu gösterir.</w:t>
      </w:r>
    </w:p>
    <w:p>
      <w:pPr>
        <w:pStyle w:val="Heading2"/>
      </w:pPr>
      <w:r>
        <w:t>Örnekleme oranı duyarlılığı</w:t>
      </w:r>
    </w:p>
    <w:p>
      <w:r>
        <w:rPr>
          <w:b w:val="0"/>
          <w:i w:val="0"/>
        </w:rPr>
        <w:t>P = 0,5 eşiği, eğitimde kullanılan heyelansız/heyelanlı örnek oranına bağlıdır. Bu bağlılık her oran için 3 tekrarlı eğitimle ölçüldü:</w:t>
      </w:r>
    </w:p>
    <w:tbl>
      <w:tblPr>
        <w:tblStyle w:val="TableGrid"/>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2375"/>
        <w:gridCol w:w="2375"/>
        <w:gridCol w:w="2375"/>
        <w:gridCol w:w="2375"/>
      </w:tblGrid>
      <w:tr>
        <w:tc>
          <w:tcPr>
            <w:tcW w:type="dxa" w:w="2608"/>
            <w:shd w:val="clear" w:color="auto" w:fill="1F3864"/>
            <w:vAlign w:val="center"/>
          </w:tcPr>
          <w:p>
            <w:pPr>
              <w:spacing w:after="20" w:before="20"/>
            </w:pPr>
            <w:r/>
            <w:r>
              <w:rPr>
                <w:b/>
                <w:color w:val="FFFFFF"/>
                <w:sz w:val="19"/>
              </w:rPr>
              <w:t>Negatif / pozitif oranı</w:t>
            </w:r>
          </w:p>
        </w:tc>
        <w:tc>
          <w:tcPr>
            <w:tcW w:type="dxa" w:w="2381"/>
            <w:shd w:val="clear" w:color="auto" w:fill="1F3864"/>
            <w:vAlign w:val="center"/>
          </w:tcPr>
          <w:p>
            <w:pPr>
              <w:spacing w:after="20" w:before="20"/>
              <w:jc w:val="right"/>
            </w:pPr>
            <w:r/>
            <w:r>
              <w:rPr>
                <w:b/>
                <w:color w:val="FFFFFF"/>
                <w:sz w:val="19"/>
              </w:rPr>
              <w:t>Kritik PGA (P = 0,5)</w:t>
            </w:r>
          </w:p>
        </w:tc>
        <w:tc>
          <w:tcPr>
            <w:tcW w:type="dxa" w:w="2268"/>
            <w:shd w:val="clear" w:color="auto" w:fill="1F3864"/>
            <w:vAlign w:val="center"/>
          </w:tcPr>
          <w:p>
            <w:pPr>
              <w:spacing w:after="20" w:before="20"/>
              <w:jc w:val="right"/>
            </w:pPr>
            <w:r/>
            <w:r>
              <w:rPr>
                <w:b/>
                <w:color w:val="FFFFFF"/>
                <w:sz w:val="19"/>
              </w:rPr>
              <w:t>Başlangıç (LR = 1)</w:t>
            </w:r>
          </w:p>
        </w:tc>
        <w:tc>
          <w:tcPr>
            <w:tcW w:type="dxa" w:w="1701"/>
            <w:shd w:val="clear" w:color="auto" w:fill="1F3864"/>
            <w:vAlign w:val="center"/>
          </w:tcPr>
          <w:p>
            <w:pPr>
              <w:spacing w:after="20" w:before="20"/>
              <w:jc w:val="right"/>
            </w:pPr>
            <w:r/>
            <w:r>
              <w:rPr>
                <w:b/>
                <w:color w:val="FFFFFF"/>
                <w:sz w:val="19"/>
              </w:rPr>
              <w:t>ROC-AUC</w:t>
            </w:r>
          </w:p>
        </w:tc>
      </w:tr>
      <w:tr>
        <w:tc>
          <w:tcPr>
            <w:tcW w:type="dxa" w:w="2608"/>
            <w:vAlign w:val="center"/>
          </w:tcPr>
          <w:p>
            <w:pPr>
              <w:spacing w:after="20" w:before="20"/>
            </w:pPr>
            <w:r>
              <w:rPr>
                <w:b w:val="0"/>
                <w:i w:val="0"/>
                <w:sz w:val="19"/>
              </w:rPr>
              <w:t>1,0</w:t>
            </w:r>
          </w:p>
        </w:tc>
        <w:tc>
          <w:tcPr>
            <w:tcW w:type="dxa" w:w="2381"/>
            <w:vAlign w:val="center"/>
          </w:tcPr>
          <w:p>
            <w:pPr>
              <w:spacing w:after="20" w:before="20"/>
              <w:jc w:val="right"/>
            </w:pPr>
            <w:r>
              <w:rPr>
                <w:b w:val="0"/>
                <w:i w:val="0"/>
                <w:sz w:val="19"/>
              </w:rPr>
              <w:t>0,41 ± 0,05 g</w:t>
            </w:r>
          </w:p>
        </w:tc>
        <w:tc>
          <w:tcPr>
            <w:tcW w:type="dxa" w:w="2268"/>
            <w:vAlign w:val="center"/>
          </w:tcPr>
          <w:p>
            <w:pPr>
              <w:spacing w:after="20" w:before="20"/>
              <w:jc w:val="right"/>
            </w:pPr>
            <w:r>
              <w:rPr>
                <w:b w:val="0"/>
                <w:i w:val="0"/>
                <w:sz w:val="19"/>
              </w:rPr>
              <w:t>0,41 g</w:t>
            </w:r>
          </w:p>
        </w:tc>
        <w:tc>
          <w:tcPr>
            <w:tcW w:type="dxa" w:w="1701"/>
            <w:vAlign w:val="center"/>
          </w:tcPr>
          <w:p>
            <w:pPr>
              <w:spacing w:after="20" w:before="20"/>
              <w:jc w:val="right"/>
            </w:pPr>
            <w:r>
              <w:rPr>
                <w:b w:val="0"/>
                <w:i w:val="0"/>
                <w:sz w:val="19"/>
              </w:rPr>
              <w:t>0,965</w:t>
            </w:r>
          </w:p>
        </w:tc>
      </w:tr>
      <w:tr>
        <w:tc>
          <w:tcPr>
            <w:tcW w:type="dxa" w:w="2608"/>
            <w:shd w:val="clear" w:color="auto" w:fill="EEF2F8"/>
            <w:vAlign w:val="center"/>
          </w:tcPr>
          <w:p>
            <w:pPr>
              <w:spacing w:after="20" w:before="20"/>
            </w:pPr>
            <w:r>
              <w:rPr>
                <w:b w:val="0"/>
                <w:i w:val="0"/>
                <w:sz w:val="19"/>
              </w:rPr>
              <w:t>1,5</w:t>
            </w:r>
          </w:p>
        </w:tc>
        <w:tc>
          <w:tcPr>
            <w:tcW w:type="dxa" w:w="2381"/>
            <w:shd w:val="clear" w:color="auto" w:fill="EEF2F8"/>
            <w:vAlign w:val="center"/>
          </w:tcPr>
          <w:p>
            <w:pPr>
              <w:spacing w:after="20" w:before="20"/>
              <w:jc w:val="right"/>
            </w:pPr>
            <w:r>
              <w:rPr>
                <w:b w:val="0"/>
                <w:i w:val="0"/>
                <w:sz w:val="19"/>
              </w:rPr>
              <w:t>0,44 ± 0,02 g</w:t>
            </w:r>
          </w:p>
        </w:tc>
        <w:tc>
          <w:tcPr>
            <w:tcW w:type="dxa" w:w="2268"/>
            <w:shd w:val="clear" w:color="auto" w:fill="EEF2F8"/>
            <w:vAlign w:val="center"/>
          </w:tcPr>
          <w:p>
            <w:pPr>
              <w:spacing w:after="20" w:before="20"/>
              <w:jc w:val="right"/>
            </w:pPr>
            <w:r>
              <w:rPr>
                <w:b w:val="0"/>
                <w:i w:val="0"/>
                <w:sz w:val="19"/>
              </w:rPr>
              <w:t>0,21 g</w:t>
            </w:r>
          </w:p>
        </w:tc>
        <w:tc>
          <w:tcPr>
            <w:tcW w:type="dxa" w:w="1701"/>
            <w:shd w:val="clear" w:color="auto" w:fill="EEF2F8"/>
            <w:vAlign w:val="center"/>
          </w:tcPr>
          <w:p>
            <w:pPr>
              <w:spacing w:after="20" w:before="20"/>
              <w:jc w:val="right"/>
            </w:pPr>
            <w:r>
              <w:rPr>
                <w:b w:val="0"/>
                <w:i w:val="0"/>
                <w:sz w:val="19"/>
              </w:rPr>
              <w:t>0,963</w:t>
            </w:r>
          </w:p>
        </w:tc>
      </w:tr>
      <w:tr>
        <w:tc>
          <w:tcPr>
            <w:tcW w:type="dxa" w:w="2608"/>
            <w:vAlign w:val="center"/>
          </w:tcPr>
          <w:p>
            <w:pPr>
              <w:spacing w:after="20" w:before="20"/>
            </w:pPr>
            <w:r>
              <w:rPr>
                <w:b w:val="0"/>
                <w:i w:val="0"/>
                <w:sz w:val="19"/>
              </w:rPr>
              <w:t>2,5 (kullanılan)</w:t>
            </w:r>
          </w:p>
        </w:tc>
        <w:tc>
          <w:tcPr>
            <w:tcW w:type="dxa" w:w="2381"/>
            <w:vAlign w:val="center"/>
          </w:tcPr>
          <w:p>
            <w:pPr>
              <w:spacing w:after="20" w:before="20"/>
              <w:jc w:val="right"/>
            </w:pPr>
            <w:r>
              <w:rPr>
                <w:b w:val="0"/>
                <w:i w:val="0"/>
                <w:sz w:val="19"/>
              </w:rPr>
              <w:t>0,73 ± 0,08 g</w:t>
            </w:r>
          </w:p>
        </w:tc>
        <w:tc>
          <w:tcPr>
            <w:tcW w:type="dxa" w:w="2268"/>
            <w:vAlign w:val="center"/>
          </w:tcPr>
          <w:p>
            <w:pPr>
              <w:spacing w:after="20" w:before="20"/>
              <w:jc w:val="right"/>
            </w:pPr>
            <w:r>
              <w:rPr>
                <w:b w:val="0"/>
                <w:i w:val="0"/>
                <w:sz w:val="19"/>
              </w:rPr>
              <w:t>0,13 g</w:t>
            </w:r>
          </w:p>
        </w:tc>
        <w:tc>
          <w:tcPr>
            <w:tcW w:type="dxa" w:w="1701"/>
            <w:vAlign w:val="center"/>
          </w:tcPr>
          <w:p>
            <w:pPr>
              <w:spacing w:after="20" w:before="20"/>
              <w:jc w:val="right"/>
            </w:pPr>
            <w:r>
              <w:rPr>
                <w:b w:val="0"/>
                <w:i w:val="0"/>
                <w:sz w:val="19"/>
              </w:rPr>
              <w:t>0,964</w:t>
            </w:r>
          </w:p>
        </w:tc>
      </w:tr>
    </w:tbl>
    <w:p>
      <w:pPr>
        <w:spacing w:after="40"/>
      </w:pPr>
    </w:p>
    <w:tbl>
      <w:tblPr>
        <w:tblW w:type="auto" w:w="0"/>
        <w:jc w:val="center"/>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9502"/>
      </w:tblGrid>
      <w:tr>
        <w:tc>
          <w:tcPr>
            <w:tcW w:type="dxa" w:w="9468"/>
            <w:shd w:val="clear" w:color="auto" w:fill="FDF3E7"/>
          </w:tcPr>
          <w:p>
            <w:r>
              <w:rPr>
                <w:b/>
                <w:color w:val="C0392B"/>
                <w:sz w:val="20"/>
              </w:rPr>
              <w:t xml:space="preserve">Yorum: </w:t>
            </w:r>
            <w:r>
              <w:rPr>
                <w:b w:val="0"/>
                <w:i w:val="0"/>
                <w:sz w:val="20"/>
              </w:rPr>
              <w:t>Ayırma gücü (AUC) örnekleme oranından etkilenmez; ancak P = 0,5 düzeyine karşılık gelen PGA değişir. Bu nedenle Kritik PGA tek bir sayı olarak değil, belirsizlik aralığıyla birlikte raporlanmıştır. Bu, heyelan duyarlılık literatüründe bilinen bir durumdur.</w:t>
            </w:r>
          </w:p>
        </w:tc>
      </w:tr>
    </w:tbl>
    <w:p>
      <w:pPr>
        <w:spacing w:after="40"/>
      </w:pPr>
    </w:p>
    <w:p>
      <w:pPr>
        <w:pStyle w:val="Heading2"/>
      </w:pPr>
      <w:r>
        <w:t>Tasarım tablosu: eğim × kayaç türü</w:t>
      </w:r>
    </w:p>
    <w:p>
      <w:r>
        <w:rPr>
          <w:b w:val="0"/>
          <w:i w:val="0"/>
        </w:rPr>
        <w:t>Kritik PGA, eğim sınıfı ve kayaç türüne göre ayrı ayrı hesaplandı. Beklendiği gibi eğim arttıkça kritik PGA düşer (örneğin andezitte, killerde ve şistte).</w:t>
      </w:r>
    </w:p>
    <w:p>
      <w:pPr>
        <w:keepNext/>
        <w:jc w:val="center"/>
      </w:pPr>
      <w:r>
        <w:drawing>
          <wp:inline xmlns:a="http://schemas.openxmlformats.org/drawingml/2006/main" xmlns:pic="http://schemas.openxmlformats.org/drawingml/2006/picture">
            <wp:extent cx="5400000" cy="4286366"/>
            <wp:docPr id="2" name="Picture 2"/>
            <wp:cNvGraphicFramePr>
              <a:graphicFrameLocks noChangeAspect="1"/>
            </wp:cNvGraphicFramePr>
            <a:graphic>
              <a:graphicData uri="http://schemas.openxmlformats.org/drawingml/2006/picture">
                <pic:pic>
                  <pic:nvPicPr>
                    <pic:cNvPr id="0" name="critical_pga_design_table.png"/>
                    <pic:cNvPicPr/>
                  </pic:nvPicPr>
                  <pic:blipFill>
                    <a:blip r:embed="rId10"/>
                    <a:stretch>
                      <a:fillRect/>
                    </a:stretch>
                  </pic:blipFill>
                  <pic:spPr>
                    <a:xfrm>
                      <a:off x="0" y="0"/>
                      <a:ext cx="5400000" cy="4286366"/>
                    </a:xfrm>
                    <a:prstGeom prst="rect"/>
                  </pic:spPr>
                </pic:pic>
              </a:graphicData>
            </a:graphic>
          </wp:inline>
        </w:drawing>
      </w:r>
    </w:p>
    <w:p>
      <w:pPr>
        <w:spacing w:after="200"/>
        <w:jc w:val="center"/>
      </w:pPr>
      <w:r>
        <w:rPr>
          <w:b w:val="0"/>
          <w:i/>
          <w:color w:val="595959"/>
          <w:sz w:val="19"/>
        </w:rPr>
        <w:t>Şekil 2. Eğim sınıfı ve litolojiye göre Kritik PGA (g). Koyu renk = daha düşük PGA’da tetiklenme = daha tehlikeli.</w:t>
      </w:r>
    </w:p>
    <w:p>
      <w:r>
        <w:br w:type="page"/>
      </w:r>
    </w:p>
    <w:p>
      <w:pPr>
        <w:pStyle w:val="Heading1"/>
      </w:pPr>
      <w:r>
        <w:t>5. Sonuçlar</w:t>
      </w:r>
    </w:p>
    <w:p>
      <w:pPr>
        <w:pStyle w:val="Heading2"/>
      </w:pPr>
      <w:r>
        <w:t>5.1 Model Karşılaştırması (mekânsal blok doğrulama)</w:t>
      </w:r>
    </w:p>
    <w:p>
      <w:r>
        <w:rPr>
          <w:b w:val="0"/>
          <w:i w:val="0"/>
        </w:rPr>
        <w:t>Önerilen modelin değerini göstermek için 9 model aynı koşullarda karşılaştırıldı:</w:t>
      </w:r>
    </w:p>
    <w:tbl>
      <w:tblPr>
        <w:tblStyle w:val="TableGrid"/>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1900"/>
        <w:gridCol w:w="1900"/>
        <w:gridCol w:w="1900"/>
        <w:gridCol w:w="1900"/>
        <w:gridCol w:w="1900"/>
      </w:tblGrid>
      <w:tr>
        <w:tc>
          <w:tcPr>
            <w:tcW w:type="dxa" w:w="3175"/>
            <w:shd w:val="clear" w:color="auto" w:fill="1F3864"/>
            <w:vAlign w:val="center"/>
          </w:tcPr>
          <w:p>
            <w:pPr>
              <w:spacing w:after="20" w:before="20"/>
            </w:pPr>
            <w:r/>
            <w:r>
              <w:rPr>
                <w:b/>
                <w:color w:val="FFFFFF"/>
                <w:sz w:val="19"/>
              </w:rPr>
              <w:t>Model</w:t>
            </w:r>
          </w:p>
        </w:tc>
        <w:tc>
          <w:tcPr>
            <w:tcW w:type="dxa" w:w="1871"/>
            <w:shd w:val="clear" w:color="auto" w:fill="1F3864"/>
            <w:vAlign w:val="center"/>
          </w:tcPr>
          <w:p>
            <w:pPr>
              <w:spacing w:after="20" w:before="20"/>
              <w:jc w:val="right"/>
            </w:pPr>
            <w:r/>
            <w:r>
              <w:rPr>
                <w:b/>
                <w:color w:val="FFFFFF"/>
                <w:sz w:val="19"/>
              </w:rPr>
              <w:t>ROC-AUC</w:t>
            </w:r>
          </w:p>
        </w:tc>
        <w:tc>
          <w:tcPr>
            <w:tcW w:type="dxa" w:w="1587"/>
            <w:shd w:val="clear" w:color="auto" w:fill="1F3864"/>
            <w:vAlign w:val="center"/>
          </w:tcPr>
          <w:p>
            <w:pPr>
              <w:spacing w:after="20" w:before="20"/>
              <w:jc w:val="right"/>
            </w:pPr>
            <w:r/>
            <w:r>
              <w:rPr>
                <w:b/>
                <w:color w:val="FFFFFF"/>
                <w:sz w:val="19"/>
              </w:rPr>
              <w:t>Dik arazi AUC</w:t>
            </w:r>
          </w:p>
        </w:tc>
        <w:tc>
          <w:tcPr>
            <w:tcW w:type="dxa" w:w="1247"/>
            <w:shd w:val="clear" w:color="auto" w:fill="1F3864"/>
            <w:vAlign w:val="center"/>
          </w:tcPr>
          <w:p>
            <w:pPr>
              <w:spacing w:after="20" w:before="20"/>
              <w:jc w:val="right"/>
            </w:pPr>
            <w:r/>
            <w:r>
              <w:rPr>
                <w:b/>
                <w:color w:val="FFFFFF"/>
                <w:sz w:val="19"/>
              </w:rPr>
              <w:t>F1</w:t>
            </w:r>
          </w:p>
        </w:tc>
        <w:tc>
          <w:tcPr>
            <w:tcW w:type="dxa" w:w="1587"/>
            <w:shd w:val="clear" w:color="auto" w:fill="1F3864"/>
            <w:vAlign w:val="center"/>
          </w:tcPr>
          <w:p>
            <w:pPr>
              <w:spacing w:after="20" w:before="20"/>
              <w:jc w:val="right"/>
            </w:pPr>
            <w:r/>
            <w:r>
              <w:rPr>
                <w:b/>
                <w:color w:val="FFFFFF"/>
                <w:sz w:val="19"/>
              </w:rPr>
              <w:t>Fizik ihlali*</w:t>
            </w:r>
          </w:p>
        </w:tc>
      </w:tr>
      <w:tr>
        <w:tc>
          <w:tcPr>
            <w:tcW w:type="dxa" w:w="3175"/>
            <w:vAlign w:val="center"/>
          </w:tcPr>
          <w:p>
            <w:pPr>
              <w:spacing w:after="20" w:before="20"/>
            </w:pPr>
            <w:r>
              <w:rPr>
                <w:b w:val="0"/>
                <w:i w:val="0"/>
                <w:sz w:val="19"/>
              </w:rPr>
              <w:t>Newmark (saf fizik)</w:t>
            </w:r>
          </w:p>
        </w:tc>
        <w:tc>
          <w:tcPr>
            <w:tcW w:type="dxa" w:w="1871"/>
            <w:vAlign w:val="center"/>
          </w:tcPr>
          <w:p>
            <w:pPr>
              <w:spacing w:after="20" w:before="20"/>
              <w:jc w:val="right"/>
            </w:pPr>
            <w:r>
              <w:rPr>
                <w:b w:val="0"/>
                <w:i w:val="0"/>
                <w:sz w:val="19"/>
              </w:rPr>
              <w:t>0,689 ± 0,098</w:t>
            </w:r>
          </w:p>
        </w:tc>
        <w:tc>
          <w:tcPr>
            <w:tcW w:type="dxa" w:w="1587"/>
            <w:vAlign w:val="center"/>
          </w:tcPr>
          <w:p>
            <w:pPr>
              <w:spacing w:after="20" w:before="20"/>
              <w:jc w:val="right"/>
            </w:pPr>
            <w:r>
              <w:rPr>
                <w:b w:val="0"/>
                <w:i w:val="0"/>
                <w:sz w:val="19"/>
              </w:rPr>
              <w:t>0,661</w:t>
            </w:r>
          </w:p>
        </w:tc>
        <w:tc>
          <w:tcPr>
            <w:tcW w:type="dxa" w:w="1247"/>
            <w:vAlign w:val="center"/>
          </w:tcPr>
          <w:p>
            <w:pPr>
              <w:spacing w:after="20" w:before="20"/>
              <w:jc w:val="right"/>
            </w:pPr>
            <w:r>
              <w:rPr>
                <w:b w:val="0"/>
                <w:i w:val="0"/>
                <w:sz w:val="19"/>
              </w:rPr>
              <w:t>0,500</w:t>
            </w:r>
          </w:p>
        </w:tc>
        <w:tc>
          <w:tcPr>
            <w:tcW w:type="dxa" w:w="1587"/>
            <w:vAlign w:val="center"/>
          </w:tcPr>
          <w:p>
            <w:pPr>
              <w:spacing w:after="20" w:before="20"/>
              <w:jc w:val="right"/>
            </w:pPr>
            <w:r>
              <w:rPr>
                <w:b w:val="0"/>
                <w:i w:val="0"/>
                <w:sz w:val="19"/>
              </w:rPr>
              <w:t>%0,0</w:t>
            </w:r>
          </w:p>
        </w:tc>
      </w:tr>
      <w:tr>
        <w:tc>
          <w:tcPr>
            <w:tcW w:type="dxa" w:w="3175"/>
            <w:shd w:val="clear" w:color="auto" w:fill="EEF2F8"/>
            <w:vAlign w:val="center"/>
          </w:tcPr>
          <w:p>
            <w:pPr>
              <w:spacing w:after="20" w:before="20"/>
            </w:pPr>
            <w:r>
              <w:rPr>
                <w:b w:val="0"/>
                <w:i w:val="0"/>
                <w:sz w:val="19"/>
              </w:rPr>
              <w:t>Lojistik regresyon</w:t>
            </w:r>
          </w:p>
        </w:tc>
        <w:tc>
          <w:tcPr>
            <w:tcW w:type="dxa" w:w="1871"/>
            <w:shd w:val="clear" w:color="auto" w:fill="EEF2F8"/>
            <w:vAlign w:val="center"/>
          </w:tcPr>
          <w:p>
            <w:pPr>
              <w:spacing w:after="20" w:before="20"/>
              <w:jc w:val="right"/>
            </w:pPr>
            <w:r>
              <w:rPr>
                <w:b w:val="0"/>
                <w:i w:val="0"/>
                <w:sz w:val="19"/>
              </w:rPr>
              <w:t>0,934 ± 0,015</w:t>
            </w:r>
          </w:p>
        </w:tc>
        <w:tc>
          <w:tcPr>
            <w:tcW w:type="dxa" w:w="1587"/>
            <w:shd w:val="clear" w:color="auto" w:fill="EEF2F8"/>
            <w:vAlign w:val="center"/>
          </w:tcPr>
          <w:p>
            <w:pPr>
              <w:spacing w:after="20" w:before="20"/>
              <w:jc w:val="right"/>
            </w:pPr>
            <w:r>
              <w:rPr>
                <w:b w:val="0"/>
                <w:i w:val="0"/>
                <w:sz w:val="19"/>
              </w:rPr>
              <w:t>0,858</w:t>
            </w:r>
          </w:p>
        </w:tc>
        <w:tc>
          <w:tcPr>
            <w:tcW w:type="dxa" w:w="1247"/>
            <w:shd w:val="clear" w:color="auto" w:fill="EEF2F8"/>
            <w:vAlign w:val="center"/>
          </w:tcPr>
          <w:p>
            <w:pPr>
              <w:spacing w:after="20" w:before="20"/>
              <w:jc w:val="right"/>
            </w:pPr>
            <w:r>
              <w:rPr>
                <w:b w:val="0"/>
                <w:i w:val="0"/>
                <w:sz w:val="19"/>
              </w:rPr>
              <w:t>0,750</w:t>
            </w:r>
          </w:p>
        </w:tc>
        <w:tc>
          <w:tcPr>
            <w:tcW w:type="dxa" w:w="1587"/>
            <w:shd w:val="clear" w:color="auto" w:fill="EEF2F8"/>
            <w:vAlign w:val="center"/>
          </w:tcPr>
          <w:p>
            <w:pPr>
              <w:spacing w:after="20" w:before="20"/>
              <w:jc w:val="right"/>
            </w:pPr>
            <w:r>
              <w:rPr>
                <w:b w:val="0"/>
                <w:i w:val="0"/>
                <w:sz w:val="19"/>
              </w:rPr>
              <w:t>%0,7</w:t>
            </w:r>
          </w:p>
        </w:tc>
      </w:tr>
      <w:tr>
        <w:tc>
          <w:tcPr>
            <w:tcW w:type="dxa" w:w="3175"/>
            <w:vAlign w:val="center"/>
          </w:tcPr>
          <w:p>
            <w:pPr>
              <w:spacing w:after="20" w:before="20"/>
            </w:pPr>
            <w:r>
              <w:rPr>
                <w:b w:val="0"/>
                <w:i w:val="0"/>
                <w:sz w:val="19"/>
              </w:rPr>
              <w:t>Random Forest</w:t>
            </w:r>
          </w:p>
        </w:tc>
        <w:tc>
          <w:tcPr>
            <w:tcW w:type="dxa" w:w="1871"/>
            <w:vAlign w:val="center"/>
          </w:tcPr>
          <w:p>
            <w:pPr>
              <w:spacing w:after="20" w:before="20"/>
              <w:jc w:val="right"/>
            </w:pPr>
            <w:r>
              <w:rPr>
                <w:b w:val="0"/>
                <w:i w:val="0"/>
                <w:sz w:val="19"/>
              </w:rPr>
              <w:t>0,942 ± 0,018</w:t>
            </w:r>
          </w:p>
        </w:tc>
        <w:tc>
          <w:tcPr>
            <w:tcW w:type="dxa" w:w="1587"/>
            <w:vAlign w:val="center"/>
          </w:tcPr>
          <w:p>
            <w:pPr>
              <w:spacing w:after="20" w:before="20"/>
              <w:jc w:val="right"/>
            </w:pPr>
            <w:r>
              <w:rPr>
                <w:b w:val="0"/>
                <w:i w:val="0"/>
                <w:sz w:val="19"/>
              </w:rPr>
              <w:t>0,870</w:t>
            </w:r>
          </w:p>
        </w:tc>
        <w:tc>
          <w:tcPr>
            <w:tcW w:type="dxa" w:w="1247"/>
            <w:vAlign w:val="center"/>
          </w:tcPr>
          <w:p>
            <w:pPr>
              <w:spacing w:after="20" w:before="20"/>
              <w:jc w:val="right"/>
            </w:pPr>
            <w:r>
              <w:rPr>
                <w:b w:val="0"/>
                <w:i w:val="0"/>
                <w:sz w:val="19"/>
              </w:rPr>
              <w:t>0,789</w:t>
            </w:r>
          </w:p>
        </w:tc>
        <w:tc>
          <w:tcPr>
            <w:tcW w:type="dxa" w:w="1587"/>
            <w:vAlign w:val="center"/>
          </w:tcPr>
          <w:p>
            <w:pPr>
              <w:spacing w:after="20" w:before="20"/>
              <w:jc w:val="right"/>
            </w:pPr>
            <w:r>
              <w:rPr>
                <w:b w:val="0"/>
                <w:i w:val="0"/>
                <w:sz w:val="19"/>
              </w:rPr>
              <w:t>%72,9</w:t>
            </w:r>
          </w:p>
        </w:tc>
      </w:tr>
      <w:tr>
        <w:tc>
          <w:tcPr>
            <w:tcW w:type="dxa" w:w="3175"/>
            <w:shd w:val="clear" w:color="auto" w:fill="EEF2F8"/>
            <w:vAlign w:val="center"/>
          </w:tcPr>
          <w:p>
            <w:pPr>
              <w:spacing w:after="20" w:before="20"/>
            </w:pPr>
            <w:r>
              <w:rPr>
                <w:b w:val="0"/>
                <w:i w:val="0"/>
                <w:sz w:val="19"/>
              </w:rPr>
              <w:t>Gradient Boosting</w:t>
            </w:r>
          </w:p>
        </w:tc>
        <w:tc>
          <w:tcPr>
            <w:tcW w:type="dxa" w:w="1871"/>
            <w:shd w:val="clear" w:color="auto" w:fill="EEF2F8"/>
            <w:vAlign w:val="center"/>
          </w:tcPr>
          <w:p>
            <w:pPr>
              <w:spacing w:after="20" w:before="20"/>
              <w:jc w:val="right"/>
            </w:pPr>
            <w:r>
              <w:rPr>
                <w:b w:val="0"/>
                <w:i w:val="0"/>
                <w:sz w:val="19"/>
              </w:rPr>
              <w:t>0,946 ± 0,014</w:t>
            </w:r>
          </w:p>
        </w:tc>
        <w:tc>
          <w:tcPr>
            <w:tcW w:type="dxa" w:w="1587"/>
            <w:shd w:val="clear" w:color="auto" w:fill="EEF2F8"/>
            <w:vAlign w:val="center"/>
          </w:tcPr>
          <w:p>
            <w:pPr>
              <w:spacing w:after="20" w:before="20"/>
              <w:jc w:val="right"/>
            </w:pPr>
            <w:r>
              <w:rPr>
                <w:b w:val="0"/>
                <w:i w:val="0"/>
                <w:sz w:val="19"/>
              </w:rPr>
              <w:t>0,879</w:t>
            </w:r>
          </w:p>
        </w:tc>
        <w:tc>
          <w:tcPr>
            <w:tcW w:type="dxa" w:w="1247"/>
            <w:shd w:val="clear" w:color="auto" w:fill="EEF2F8"/>
            <w:vAlign w:val="center"/>
          </w:tcPr>
          <w:p>
            <w:pPr>
              <w:spacing w:after="20" w:before="20"/>
              <w:jc w:val="right"/>
            </w:pPr>
            <w:r>
              <w:rPr>
                <w:b w:val="0"/>
                <w:i w:val="0"/>
                <w:sz w:val="19"/>
              </w:rPr>
              <w:t>0,786</w:t>
            </w:r>
          </w:p>
        </w:tc>
        <w:tc>
          <w:tcPr>
            <w:tcW w:type="dxa" w:w="1587"/>
            <w:shd w:val="clear" w:color="auto" w:fill="EEF2F8"/>
            <w:vAlign w:val="center"/>
          </w:tcPr>
          <w:p>
            <w:pPr>
              <w:spacing w:after="20" w:before="20"/>
              <w:jc w:val="right"/>
            </w:pPr>
            <w:r>
              <w:rPr>
                <w:b w:val="0"/>
                <w:i w:val="0"/>
                <w:sz w:val="19"/>
              </w:rPr>
              <w:t>%56,1</w:t>
            </w:r>
          </w:p>
        </w:tc>
      </w:tr>
      <w:tr>
        <w:tc>
          <w:tcPr>
            <w:tcW w:type="dxa" w:w="3175"/>
            <w:vAlign w:val="center"/>
          </w:tcPr>
          <w:p>
            <w:pPr>
              <w:spacing w:after="20" w:before="20"/>
            </w:pPr>
            <w:r>
              <w:rPr>
                <w:b w:val="0"/>
                <w:i w:val="0"/>
                <w:sz w:val="19"/>
              </w:rPr>
              <w:t>GBM + monoton kısıt</w:t>
            </w:r>
          </w:p>
        </w:tc>
        <w:tc>
          <w:tcPr>
            <w:tcW w:type="dxa" w:w="1871"/>
            <w:vAlign w:val="center"/>
          </w:tcPr>
          <w:p>
            <w:pPr>
              <w:spacing w:after="20" w:before="20"/>
              <w:jc w:val="right"/>
            </w:pPr>
            <w:r>
              <w:rPr>
                <w:b w:val="0"/>
                <w:i w:val="0"/>
                <w:sz w:val="19"/>
              </w:rPr>
              <w:t>0,951 ± 0,010</w:t>
            </w:r>
          </w:p>
        </w:tc>
        <w:tc>
          <w:tcPr>
            <w:tcW w:type="dxa" w:w="1587"/>
            <w:vAlign w:val="center"/>
          </w:tcPr>
          <w:p>
            <w:pPr>
              <w:spacing w:after="20" w:before="20"/>
              <w:jc w:val="right"/>
            </w:pPr>
            <w:r>
              <w:rPr>
                <w:b w:val="0"/>
                <w:i w:val="0"/>
                <w:sz w:val="19"/>
              </w:rPr>
              <w:t>0,888</w:t>
            </w:r>
          </w:p>
        </w:tc>
        <w:tc>
          <w:tcPr>
            <w:tcW w:type="dxa" w:w="1247"/>
            <w:vAlign w:val="center"/>
          </w:tcPr>
          <w:p>
            <w:pPr>
              <w:spacing w:after="20" w:before="20"/>
              <w:jc w:val="right"/>
            </w:pPr>
            <w:r>
              <w:rPr>
                <w:b w:val="0"/>
                <w:i w:val="0"/>
                <w:sz w:val="19"/>
              </w:rPr>
              <w:t>0,799</w:t>
            </w:r>
          </w:p>
        </w:tc>
        <w:tc>
          <w:tcPr>
            <w:tcW w:type="dxa" w:w="1587"/>
            <w:vAlign w:val="center"/>
          </w:tcPr>
          <w:p>
            <w:pPr>
              <w:spacing w:after="20" w:before="20"/>
              <w:jc w:val="right"/>
            </w:pPr>
            <w:r>
              <w:rPr>
                <w:b w:val="0"/>
                <w:i w:val="0"/>
                <w:sz w:val="19"/>
              </w:rPr>
              <w:t>%0,0</w:t>
            </w:r>
          </w:p>
        </w:tc>
      </w:tr>
      <w:tr>
        <w:tc>
          <w:tcPr>
            <w:tcW w:type="dxa" w:w="3175"/>
            <w:shd w:val="clear" w:color="auto" w:fill="EEF2F8"/>
            <w:vAlign w:val="center"/>
          </w:tcPr>
          <w:p>
            <w:pPr>
              <w:spacing w:after="20" w:before="20"/>
            </w:pPr>
            <w:r>
              <w:rPr>
                <w:b w:val="0"/>
                <w:i w:val="0"/>
                <w:sz w:val="19"/>
              </w:rPr>
              <w:t>MLP (fiziksiz)</w:t>
            </w:r>
          </w:p>
        </w:tc>
        <w:tc>
          <w:tcPr>
            <w:tcW w:type="dxa" w:w="1871"/>
            <w:shd w:val="clear" w:color="auto" w:fill="EEF2F8"/>
            <w:vAlign w:val="center"/>
          </w:tcPr>
          <w:p>
            <w:pPr>
              <w:spacing w:after="20" w:before="20"/>
              <w:jc w:val="right"/>
            </w:pPr>
            <w:r>
              <w:rPr>
                <w:b w:val="0"/>
                <w:i w:val="0"/>
                <w:sz w:val="19"/>
              </w:rPr>
              <w:t>0,944 ± 0,013</w:t>
            </w:r>
          </w:p>
        </w:tc>
        <w:tc>
          <w:tcPr>
            <w:tcW w:type="dxa" w:w="1587"/>
            <w:shd w:val="clear" w:color="auto" w:fill="EEF2F8"/>
            <w:vAlign w:val="center"/>
          </w:tcPr>
          <w:p>
            <w:pPr>
              <w:spacing w:after="20" w:before="20"/>
              <w:jc w:val="right"/>
            </w:pPr>
            <w:r>
              <w:rPr>
                <w:b w:val="0"/>
                <w:i w:val="0"/>
                <w:sz w:val="19"/>
              </w:rPr>
              <w:t>0,884</w:t>
            </w:r>
          </w:p>
        </w:tc>
        <w:tc>
          <w:tcPr>
            <w:tcW w:type="dxa" w:w="1247"/>
            <w:shd w:val="clear" w:color="auto" w:fill="EEF2F8"/>
            <w:vAlign w:val="center"/>
          </w:tcPr>
          <w:p>
            <w:pPr>
              <w:spacing w:after="20" w:before="20"/>
              <w:jc w:val="right"/>
            </w:pPr>
            <w:r>
              <w:rPr>
                <w:b w:val="0"/>
                <w:i w:val="0"/>
                <w:sz w:val="19"/>
              </w:rPr>
              <w:t>0,771</w:t>
            </w:r>
          </w:p>
        </w:tc>
        <w:tc>
          <w:tcPr>
            <w:tcW w:type="dxa" w:w="1587"/>
            <w:shd w:val="clear" w:color="auto" w:fill="EEF2F8"/>
            <w:vAlign w:val="center"/>
          </w:tcPr>
          <w:p>
            <w:pPr>
              <w:spacing w:after="20" w:before="20"/>
              <w:jc w:val="right"/>
            </w:pPr>
            <w:r>
              <w:rPr>
                <w:b w:val="0"/>
                <w:i w:val="0"/>
                <w:sz w:val="19"/>
              </w:rPr>
              <w:t>%57,5</w:t>
            </w:r>
          </w:p>
        </w:tc>
      </w:tr>
      <w:tr>
        <w:tc>
          <w:tcPr>
            <w:tcW w:type="dxa" w:w="3175"/>
            <w:vAlign w:val="center"/>
          </w:tcPr>
          <w:p>
            <w:pPr>
              <w:spacing w:after="20" w:before="20"/>
            </w:pPr>
            <w:r>
              <w:rPr>
                <w:b w:val="0"/>
                <w:i w:val="0"/>
                <w:sz w:val="19"/>
              </w:rPr>
              <w:t>PINN v1</w:t>
            </w:r>
          </w:p>
        </w:tc>
        <w:tc>
          <w:tcPr>
            <w:tcW w:type="dxa" w:w="1871"/>
            <w:vAlign w:val="center"/>
          </w:tcPr>
          <w:p>
            <w:pPr>
              <w:spacing w:after="20" w:before="20"/>
              <w:jc w:val="right"/>
            </w:pPr>
            <w:r>
              <w:rPr>
                <w:b w:val="0"/>
                <w:i w:val="0"/>
                <w:sz w:val="19"/>
              </w:rPr>
              <w:t>0,947 ± 0,018</w:t>
            </w:r>
          </w:p>
        </w:tc>
        <w:tc>
          <w:tcPr>
            <w:tcW w:type="dxa" w:w="1587"/>
            <w:vAlign w:val="center"/>
          </w:tcPr>
          <w:p>
            <w:pPr>
              <w:spacing w:after="20" w:before="20"/>
              <w:jc w:val="right"/>
            </w:pPr>
            <w:r>
              <w:rPr>
                <w:b w:val="0"/>
                <w:i w:val="0"/>
                <w:sz w:val="19"/>
              </w:rPr>
              <w:t>0,888</w:t>
            </w:r>
          </w:p>
        </w:tc>
        <w:tc>
          <w:tcPr>
            <w:tcW w:type="dxa" w:w="1247"/>
            <w:vAlign w:val="center"/>
          </w:tcPr>
          <w:p>
            <w:pPr>
              <w:spacing w:after="20" w:before="20"/>
              <w:jc w:val="right"/>
            </w:pPr>
            <w:r>
              <w:rPr>
                <w:b w:val="0"/>
                <w:i w:val="0"/>
                <w:sz w:val="19"/>
              </w:rPr>
              <w:t>0,788</w:t>
            </w:r>
          </w:p>
        </w:tc>
        <w:tc>
          <w:tcPr>
            <w:tcW w:type="dxa" w:w="1587"/>
            <w:vAlign w:val="center"/>
          </w:tcPr>
          <w:p>
            <w:pPr>
              <w:spacing w:after="20" w:before="20"/>
              <w:jc w:val="right"/>
            </w:pPr>
            <w:r>
              <w:rPr>
                <w:b w:val="0"/>
                <w:i w:val="0"/>
                <w:sz w:val="19"/>
              </w:rPr>
              <w:t>%59,9</w:t>
            </w:r>
          </w:p>
        </w:tc>
      </w:tr>
      <w:tr>
        <w:tc>
          <w:tcPr>
            <w:tcW w:type="dxa" w:w="3175"/>
            <w:shd w:val="clear" w:color="auto" w:fill="EEF2F8"/>
            <w:vAlign w:val="center"/>
          </w:tcPr>
          <w:p>
            <w:pPr>
              <w:spacing w:after="20" w:before="20"/>
            </w:pPr>
            <w:r>
              <w:rPr>
                <w:b w:val="0"/>
                <w:i w:val="0"/>
                <w:sz w:val="19"/>
              </w:rPr>
              <w:t>PINN v2 (önerilen)</w:t>
            </w:r>
          </w:p>
        </w:tc>
        <w:tc>
          <w:tcPr>
            <w:tcW w:type="dxa" w:w="1871"/>
            <w:shd w:val="clear" w:color="auto" w:fill="EEF2F8"/>
            <w:vAlign w:val="center"/>
          </w:tcPr>
          <w:p>
            <w:pPr>
              <w:spacing w:after="20" w:before="20"/>
              <w:jc w:val="right"/>
            </w:pPr>
            <w:r>
              <w:rPr>
                <w:b w:val="0"/>
                <w:i w:val="0"/>
                <w:sz w:val="19"/>
              </w:rPr>
              <w:t>0,947 ± 0,015</w:t>
            </w:r>
          </w:p>
        </w:tc>
        <w:tc>
          <w:tcPr>
            <w:tcW w:type="dxa" w:w="1587"/>
            <w:shd w:val="clear" w:color="auto" w:fill="EEF2F8"/>
            <w:vAlign w:val="center"/>
          </w:tcPr>
          <w:p>
            <w:pPr>
              <w:spacing w:after="20" w:before="20"/>
              <w:jc w:val="right"/>
            </w:pPr>
            <w:r>
              <w:rPr>
                <w:b w:val="0"/>
                <w:i w:val="0"/>
                <w:sz w:val="19"/>
              </w:rPr>
              <w:t>0,887</w:t>
            </w:r>
          </w:p>
        </w:tc>
        <w:tc>
          <w:tcPr>
            <w:tcW w:type="dxa" w:w="1247"/>
            <w:shd w:val="clear" w:color="auto" w:fill="EEF2F8"/>
            <w:vAlign w:val="center"/>
          </w:tcPr>
          <w:p>
            <w:pPr>
              <w:spacing w:after="20" w:before="20"/>
              <w:jc w:val="right"/>
            </w:pPr>
            <w:r>
              <w:rPr>
                <w:b w:val="0"/>
                <w:i w:val="0"/>
                <w:sz w:val="19"/>
              </w:rPr>
              <w:t>0,783</w:t>
            </w:r>
          </w:p>
        </w:tc>
        <w:tc>
          <w:tcPr>
            <w:tcW w:type="dxa" w:w="1587"/>
            <w:shd w:val="clear" w:color="auto" w:fill="EEF2F8"/>
            <w:vAlign w:val="center"/>
          </w:tcPr>
          <w:p>
            <w:pPr>
              <w:spacing w:after="20" w:before="20"/>
              <w:jc w:val="right"/>
            </w:pPr>
            <w:r>
              <w:rPr>
                <w:b w:val="0"/>
                <w:i w:val="0"/>
                <w:sz w:val="19"/>
              </w:rPr>
              <w:t>%0,8</w:t>
            </w:r>
          </w:p>
        </w:tc>
      </w:tr>
      <w:tr>
        <w:tc>
          <w:tcPr>
            <w:tcW w:type="dxa" w:w="3175"/>
            <w:vAlign w:val="center"/>
          </w:tcPr>
          <w:p>
            <w:pPr>
              <w:spacing w:after="20" w:before="20"/>
            </w:pPr>
            <w:r>
              <w:rPr>
                <w:b w:val="0"/>
                <w:i w:val="0"/>
                <w:sz w:val="19"/>
              </w:rPr>
              <w:t>PINN v2 – fizik girdisiz</w:t>
            </w:r>
          </w:p>
        </w:tc>
        <w:tc>
          <w:tcPr>
            <w:tcW w:type="dxa" w:w="1871"/>
            <w:vAlign w:val="center"/>
          </w:tcPr>
          <w:p>
            <w:pPr>
              <w:spacing w:after="20" w:before="20"/>
              <w:jc w:val="right"/>
            </w:pPr>
            <w:r>
              <w:rPr>
                <w:b w:val="0"/>
                <w:i w:val="0"/>
                <w:sz w:val="19"/>
              </w:rPr>
              <w:t>0,947 ± 0,018</w:t>
            </w:r>
          </w:p>
        </w:tc>
        <w:tc>
          <w:tcPr>
            <w:tcW w:type="dxa" w:w="1587"/>
            <w:vAlign w:val="center"/>
          </w:tcPr>
          <w:p>
            <w:pPr>
              <w:spacing w:after="20" w:before="20"/>
              <w:jc w:val="right"/>
            </w:pPr>
            <w:r>
              <w:rPr>
                <w:b w:val="0"/>
                <w:i w:val="0"/>
                <w:sz w:val="19"/>
              </w:rPr>
              <w:t>0,890</w:t>
            </w:r>
          </w:p>
        </w:tc>
        <w:tc>
          <w:tcPr>
            <w:tcW w:type="dxa" w:w="1247"/>
            <w:vAlign w:val="center"/>
          </w:tcPr>
          <w:p>
            <w:pPr>
              <w:spacing w:after="20" w:before="20"/>
              <w:jc w:val="right"/>
            </w:pPr>
            <w:r>
              <w:rPr>
                <w:b w:val="0"/>
                <w:i w:val="0"/>
                <w:sz w:val="19"/>
              </w:rPr>
              <w:t>0,789</w:t>
            </w:r>
          </w:p>
        </w:tc>
        <w:tc>
          <w:tcPr>
            <w:tcW w:type="dxa" w:w="1587"/>
            <w:vAlign w:val="center"/>
          </w:tcPr>
          <w:p>
            <w:pPr>
              <w:spacing w:after="20" w:before="20"/>
              <w:jc w:val="right"/>
            </w:pPr>
            <w:r>
              <w:rPr>
                <w:b w:val="0"/>
                <w:i w:val="0"/>
                <w:sz w:val="19"/>
              </w:rPr>
              <w:t>%64,3</w:t>
            </w:r>
          </w:p>
        </w:tc>
      </w:tr>
      <w:tr>
        <w:tc>
          <w:tcPr>
            <w:tcW w:type="dxa" w:w="3175"/>
            <w:shd w:val="clear" w:color="auto" w:fill="EEF2F8"/>
            <w:vAlign w:val="center"/>
          </w:tcPr>
          <w:p>
            <w:pPr>
              <w:spacing w:after="20" w:before="20"/>
            </w:pPr>
            <w:r>
              <w:rPr>
                <w:b w:val="0"/>
                <w:i w:val="0"/>
                <w:sz w:val="19"/>
              </w:rPr>
              <w:t>Lojistik regresyon + katmanlar</w:t>
            </w:r>
          </w:p>
        </w:tc>
        <w:tc>
          <w:tcPr>
            <w:tcW w:type="dxa" w:w="1871"/>
            <w:shd w:val="clear" w:color="auto" w:fill="EEF2F8"/>
            <w:vAlign w:val="center"/>
          </w:tcPr>
          <w:p>
            <w:pPr>
              <w:spacing w:after="20" w:before="20"/>
              <w:jc w:val="right"/>
            </w:pPr>
            <w:r>
              <w:rPr>
                <w:b w:val="0"/>
                <w:i w:val="0"/>
                <w:sz w:val="19"/>
              </w:rPr>
              <w:t>0,965 ± 0,011</w:t>
            </w:r>
          </w:p>
        </w:tc>
        <w:tc>
          <w:tcPr>
            <w:tcW w:type="dxa" w:w="1587"/>
            <w:shd w:val="clear" w:color="auto" w:fill="EEF2F8"/>
            <w:vAlign w:val="center"/>
          </w:tcPr>
          <w:p>
            <w:pPr>
              <w:spacing w:after="20" w:before="20"/>
              <w:jc w:val="right"/>
            </w:pPr>
            <w:r>
              <w:rPr>
                <w:b w:val="0"/>
                <w:i w:val="0"/>
                <w:sz w:val="19"/>
              </w:rPr>
              <w:t>0,903</w:t>
            </w:r>
          </w:p>
        </w:tc>
        <w:tc>
          <w:tcPr>
            <w:tcW w:type="dxa" w:w="1247"/>
            <w:shd w:val="clear" w:color="auto" w:fill="EEF2F8"/>
            <w:vAlign w:val="center"/>
          </w:tcPr>
          <w:p>
            <w:pPr>
              <w:spacing w:after="20" w:before="20"/>
              <w:jc w:val="right"/>
            </w:pPr>
            <w:r>
              <w:rPr>
                <w:b w:val="0"/>
                <w:i w:val="0"/>
                <w:sz w:val="19"/>
              </w:rPr>
              <w:t>0,832</w:t>
            </w:r>
          </w:p>
        </w:tc>
        <w:tc>
          <w:tcPr>
            <w:tcW w:type="dxa" w:w="1587"/>
            <w:shd w:val="clear" w:color="auto" w:fill="EEF2F8"/>
            <w:vAlign w:val="center"/>
          </w:tcPr>
          <w:p>
            <w:pPr>
              <w:spacing w:after="20" w:before="20"/>
              <w:jc w:val="right"/>
            </w:pPr>
            <w:r>
              <w:rPr>
                <w:b w:val="0"/>
                <w:i w:val="0"/>
                <w:sz w:val="19"/>
              </w:rPr>
              <w:t>%0,0</w:t>
            </w:r>
          </w:p>
        </w:tc>
      </w:tr>
      <w:tr>
        <w:tc>
          <w:tcPr>
            <w:tcW w:type="dxa" w:w="3175"/>
            <w:vAlign w:val="center"/>
          </w:tcPr>
          <w:p>
            <w:pPr>
              <w:spacing w:after="20" w:before="20"/>
            </w:pPr>
            <w:r>
              <w:rPr>
                <w:b w:val="0"/>
                <w:i w:val="0"/>
                <w:sz w:val="19"/>
              </w:rPr>
              <w:t>Random Forest + katmanlar</w:t>
            </w:r>
          </w:p>
        </w:tc>
        <w:tc>
          <w:tcPr>
            <w:tcW w:type="dxa" w:w="1871"/>
            <w:vAlign w:val="center"/>
          </w:tcPr>
          <w:p>
            <w:pPr>
              <w:spacing w:after="20" w:before="20"/>
              <w:jc w:val="right"/>
            </w:pPr>
            <w:r>
              <w:rPr>
                <w:b w:val="0"/>
                <w:i w:val="0"/>
                <w:sz w:val="19"/>
              </w:rPr>
              <w:t>0,966 ± 0,009</w:t>
            </w:r>
          </w:p>
        </w:tc>
        <w:tc>
          <w:tcPr>
            <w:tcW w:type="dxa" w:w="1587"/>
            <w:vAlign w:val="center"/>
          </w:tcPr>
          <w:p>
            <w:pPr>
              <w:spacing w:after="20" w:before="20"/>
              <w:jc w:val="right"/>
            </w:pPr>
            <w:r>
              <w:rPr>
                <w:b w:val="0"/>
                <w:i w:val="0"/>
                <w:sz w:val="19"/>
              </w:rPr>
              <w:t>0,905</w:t>
            </w:r>
          </w:p>
        </w:tc>
        <w:tc>
          <w:tcPr>
            <w:tcW w:type="dxa" w:w="1247"/>
            <w:vAlign w:val="center"/>
          </w:tcPr>
          <w:p>
            <w:pPr>
              <w:spacing w:after="20" w:before="20"/>
              <w:jc w:val="right"/>
            </w:pPr>
            <w:r>
              <w:rPr>
                <w:b w:val="0"/>
                <w:i w:val="0"/>
                <w:sz w:val="19"/>
              </w:rPr>
              <w:t>0,836</w:t>
            </w:r>
          </w:p>
        </w:tc>
        <w:tc>
          <w:tcPr>
            <w:tcW w:type="dxa" w:w="1587"/>
            <w:vAlign w:val="center"/>
          </w:tcPr>
          <w:p>
            <w:pPr>
              <w:spacing w:after="20" w:before="20"/>
              <w:jc w:val="right"/>
            </w:pPr>
            <w:r>
              <w:rPr>
                <w:b w:val="0"/>
                <w:i w:val="0"/>
                <w:sz w:val="19"/>
              </w:rPr>
              <w:t>%18,2</w:t>
            </w:r>
          </w:p>
        </w:tc>
      </w:tr>
      <w:tr>
        <w:tc>
          <w:tcPr>
            <w:tcW w:type="dxa" w:w="3175"/>
            <w:shd w:val="clear" w:color="auto" w:fill="EEF2F8"/>
            <w:vAlign w:val="center"/>
          </w:tcPr>
          <w:p>
            <w:pPr>
              <w:spacing w:after="20" w:before="20"/>
            </w:pPr>
            <w:r>
              <w:rPr>
                <w:b w:val="0"/>
                <w:i w:val="0"/>
                <w:sz w:val="19"/>
              </w:rPr>
              <w:t>Gradient Boosting + katmanlar</w:t>
            </w:r>
          </w:p>
        </w:tc>
        <w:tc>
          <w:tcPr>
            <w:tcW w:type="dxa" w:w="1871"/>
            <w:shd w:val="clear" w:color="auto" w:fill="EEF2F8"/>
            <w:vAlign w:val="center"/>
          </w:tcPr>
          <w:p>
            <w:pPr>
              <w:spacing w:after="20" w:before="20"/>
              <w:jc w:val="right"/>
            </w:pPr>
            <w:r>
              <w:rPr>
                <w:b w:val="0"/>
                <w:i w:val="0"/>
                <w:sz w:val="19"/>
              </w:rPr>
              <w:t>0,964 ± 0,010</w:t>
            </w:r>
          </w:p>
        </w:tc>
        <w:tc>
          <w:tcPr>
            <w:tcW w:type="dxa" w:w="1587"/>
            <w:shd w:val="clear" w:color="auto" w:fill="EEF2F8"/>
            <w:vAlign w:val="center"/>
          </w:tcPr>
          <w:p>
            <w:pPr>
              <w:spacing w:after="20" w:before="20"/>
              <w:jc w:val="right"/>
            </w:pPr>
            <w:r>
              <w:rPr>
                <w:b w:val="0"/>
                <w:i w:val="0"/>
                <w:sz w:val="19"/>
              </w:rPr>
              <w:t>0,903</w:t>
            </w:r>
          </w:p>
        </w:tc>
        <w:tc>
          <w:tcPr>
            <w:tcW w:type="dxa" w:w="1247"/>
            <w:shd w:val="clear" w:color="auto" w:fill="EEF2F8"/>
            <w:vAlign w:val="center"/>
          </w:tcPr>
          <w:p>
            <w:pPr>
              <w:spacing w:after="20" w:before="20"/>
              <w:jc w:val="right"/>
            </w:pPr>
            <w:r>
              <w:rPr>
                <w:b w:val="0"/>
                <w:i w:val="0"/>
                <w:sz w:val="19"/>
              </w:rPr>
              <w:t>0,828</w:t>
            </w:r>
          </w:p>
        </w:tc>
        <w:tc>
          <w:tcPr>
            <w:tcW w:type="dxa" w:w="1587"/>
            <w:shd w:val="clear" w:color="auto" w:fill="EEF2F8"/>
            <w:vAlign w:val="center"/>
          </w:tcPr>
          <w:p>
            <w:pPr>
              <w:spacing w:after="20" w:before="20"/>
              <w:jc w:val="right"/>
            </w:pPr>
            <w:r>
              <w:rPr>
                <w:b w:val="0"/>
                <w:i w:val="0"/>
                <w:sz w:val="19"/>
              </w:rPr>
              <w:t>%31,6</w:t>
            </w:r>
          </w:p>
        </w:tc>
      </w:tr>
      <w:tr>
        <w:tc>
          <w:tcPr>
            <w:tcW w:type="dxa" w:w="3175"/>
            <w:vAlign w:val="center"/>
          </w:tcPr>
          <w:p>
            <w:pPr>
              <w:spacing w:after="20" w:before="20"/>
            </w:pPr>
            <w:r>
              <w:rPr>
                <w:b w:val="0"/>
                <w:i w:val="0"/>
                <w:sz w:val="19"/>
              </w:rPr>
              <w:t>GBM + monoton kısıt + katmanlar</w:t>
            </w:r>
          </w:p>
        </w:tc>
        <w:tc>
          <w:tcPr>
            <w:tcW w:type="dxa" w:w="1871"/>
            <w:vAlign w:val="center"/>
          </w:tcPr>
          <w:p>
            <w:pPr>
              <w:spacing w:after="20" w:before="20"/>
              <w:jc w:val="right"/>
            </w:pPr>
            <w:r>
              <w:rPr>
                <w:b w:val="0"/>
                <w:i w:val="0"/>
                <w:sz w:val="19"/>
              </w:rPr>
              <w:t>0,966 ± 0,010</w:t>
            </w:r>
          </w:p>
        </w:tc>
        <w:tc>
          <w:tcPr>
            <w:tcW w:type="dxa" w:w="1587"/>
            <w:vAlign w:val="center"/>
          </w:tcPr>
          <w:p>
            <w:pPr>
              <w:spacing w:after="20" w:before="20"/>
              <w:jc w:val="right"/>
            </w:pPr>
            <w:r>
              <w:rPr>
                <w:b w:val="0"/>
                <w:i w:val="0"/>
                <w:sz w:val="19"/>
              </w:rPr>
              <w:t>0,906</w:t>
            </w:r>
          </w:p>
        </w:tc>
        <w:tc>
          <w:tcPr>
            <w:tcW w:type="dxa" w:w="1247"/>
            <w:vAlign w:val="center"/>
          </w:tcPr>
          <w:p>
            <w:pPr>
              <w:spacing w:after="20" w:before="20"/>
              <w:jc w:val="right"/>
            </w:pPr>
            <w:r>
              <w:rPr>
                <w:b w:val="0"/>
                <w:i w:val="0"/>
                <w:sz w:val="19"/>
              </w:rPr>
              <w:t>0,833</w:t>
            </w:r>
          </w:p>
        </w:tc>
        <w:tc>
          <w:tcPr>
            <w:tcW w:type="dxa" w:w="1587"/>
            <w:vAlign w:val="center"/>
          </w:tcPr>
          <w:p>
            <w:pPr>
              <w:spacing w:after="20" w:before="20"/>
              <w:jc w:val="right"/>
            </w:pPr>
            <w:r>
              <w:rPr>
                <w:b w:val="0"/>
                <w:i w:val="0"/>
                <w:sz w:val="19"/>
              </w:rPr>
              <w:t>%0,0</w:t>
            </w:r>
          </w:p>
        </w:tc>
      </w:tr>
      <w:tr>
        <w:tc>
          <w:tcPr>
            <w:tcW w:type="dxa" w:w="3175"/>
            <w:shd w:val="clear" w:color="auto" w:fill="EEF2F8"/>
            <w:vAlign w:val="center"/>
          </w:tcPr>
          <w:p>
            <w:pPr>
              <w:spacing w:after="20" w:before="20"/>
            </w:pPr>
            <w:r>
              <w:rPr>
                <w:b w:val="0"/>
                <w:i w:val="0"/>
                <w:sz w:val="19"/>
              </w:rPr>
              <w:t>MLP (fiziksiz) + katmanlar</w:t>
            </w:r>
          </w:p>
        </w:tc>
        <w:tc>
          <w:tcPr>
            <w:tcW w:type="dxa" w:w="1871"/>
            <w:shd w:val="clear" w:color="auto" w:fill="EEF2F8"/>
            <w:vAlign w:val="center"/>
          </w:tcPr>
          <w:p>
            <w:pPr>
              <w:spacing w:after="20" w:before="20"/>
              <w:jc w:val="right"/>
            </w:pPr>
            <w:r>
              <w:rPr>
                <w:b w:val="0"/>
                <w:i w:val="0"/>
                <w:sz w:val="19"/>
              </w:rPr>
              <w:t>0,964 ± 0,013</w:t>
            </w:r>
          </w:p>
        </w:tc>
        <w:tc>
          <w:tcPr>
            <w:tcW w:type="dxa" w:w="1587"/>
            <w:shd w:val="clear" w:color="auto" w:fill="EEF2F8"/>
            <w:vAlign w:val="center"/>
          </w:tcPr>
          <w:p>
            <w:pPr>
              <w:spacing w:after="20" w:before="20"/>
              <w:jc w:val="right"/>
            </w:pPr>
            <w:r>
              <w:rPr>
                <w:b w:val="0"/>
                <w:i w:val="0"/>
                <w:sz w:val="19"/>
              </w:rPr>
              <w:t>0,909</w:t>
            </w:r>
          </w:p>
        </w:tc>
        <w:tc>
          <w:tcPr>
            <w:tcW w:type="dxa" w:w="1247"/>
            <w:shd w:val="clear" w:color="auto" w:fill="EEF2F8"/>
            <w:vAlign w:val="center"/>
          </w:tcPr>
          <w:p>
            <w:pPr>
              <w:spacing w:after="20" w:before="20"/>
              <w:jc w:val="right"/>
            </w:pPr>
            <w:r>
              <w:rPr>
                <w:b w:val="0"/>
                <w:i w:val="0"/>
                <w:sz w:val="19"/>
              </w:rPr>
              <w:t>0,829</w:t>
            </w:r>
          </w:p>
        </w:tc>
        <w:tc>
          <w:tcPr>
            <w:tcW w:type="dxa" w:w="1587"/>
            <w:shd w:val="clear" w:color="auto" w:fill="EEF2F8"/>
            <w:vAlign w:val="center"/>
          </w:tcPr>
          <w:p>
            <w:pPr>
              <w:spacing w:after="20" w:before="20"/>
              <w:jc w:val="right"/>
            </w:pPr>
            <w:r>
              <w:rPr>
                <w:b w:val="0"/>
                <w:i w:val="0"/>
                <w:sz w:val="19"/>
              </w:rPr>
              <w:t>%0,2</w:t>
            </w:r>
          </w:p>
        </w:tc>
      </w:tr>
      <w:tr>
        <w:tc>
          <w:tcPr>
            <w:tcW w:type="dxa" w:w="3175"/>
            <w:shd w:val="clear" w:color="auto" w:fill="DCE8F5"/>
            <w:vAlign w:val="center"/>
          </w:tcPr>
          <w:p>
            <w:pPr>
              <w:spacing w:after="20" w:before="20"/>
            </w:pPr>
            <w:r>
              <w:rPr>
                <w:b/>
                <w:i w:val="0"/>
                <w:sz w:val="19"/>
              </w:rPr>
              <w:t>PINN v2 (önerilen) + katmanlar</w:t>
            </w:r>
          </w:p>
        </w:tc>
        <w:tc>
          <w:tcPr>
            <w:tcW w:type="dxa" w:w="1871"/>
            <w:shd w:val="clear" w:color="auto" w:fill="DCE8F5"/>
            <w:vAlign w:val="center"/>
          </w:tcPr>
          <w:p>
            <w:pPr>
              <w:spacing w:after="20" w:before="20"/>
              <w:jc w:val="right"/>
            </w:pPr>
            <w:r>
              <w:rPr>
                <w:b/>
                <w:i w:val="0"/>
                <w:sz w:val="19"/>
              </w:rPr>
              <w:t>0,965 ± 0,013</w:t>
            </w:r>
          </w:p>
        </w:tc>
        <w:tc>
          <w:tcPr>
            <w:tcW w:type="dxa" w:w="1587"/>
            <w:shd w:val="clear" w:color="auto" w:fill="DCE8F5"/>
            <w:vAlign w:val="center"/>
          </w:tcPr>
          <w:p>
            <w:pPr>
              <w:spacing w:after="20" w:before="20"/>
              <w:jc w:val="right"/>
            </w:pPr>
            <w:r>
              <w:rPr>
                <w:b/>
                <w:i w:val="0"/>
                <w:sz w:val="19"/>
              </w:rPr>
              <w:t>0,909</w:t>
            </w:r>
          </w:p>
        </w:tc>
        <w:tc>
          <w:tcPr>
            <w:tcW w:type="dxa" w:w="1247"/>
            <w:shd w:val="clear" w:color="auto" w:fill="DCE8F5"/>
            <w:vAlign w:val="center"/>
          </w:tcPr>
          <w:p>
            <w:pPr>
              <w:spacing w:after="20" w:before="20"/>
              <w:jc w:val="right"/>
            </w:pPr>
            <w:r>
              <w:rPr>
                <w:b/>
                <w:i w:val="0"/>
                <w:sz w:val="19"/>
              </w:rPr>
              <w:t>0,830</w:t>
            </w:r>
          </w:p>
        </w:tc>
        <w:tc>
          <w:tcPr>
            <w:tcW w:type="dxa" w:w="1587"/>
            <w:shd w:val="clear" w:color="auto" w:fill="DCE8F5"/>
            <w:vAlign w:val="center"/>
          </w:tcPr>
          <w:p>
            <w:pPr>
              <w:spacing w:after="20" w:before="20"/>
              <w:jc w:val="right"/>
            </w:pPr>
            <w:r>
              <w:rPr>
                <w:b/>
                <w:i w:val="0"/>
                <w:sz w:val="19"/>
              </w:rPr>
              <w:t>%0,0</w:t>
            </w:r>
          </w:p>
        </w:tc>
      </w:tr>
      <w:tr>
        <w:tc>
          <w:tcPr>
            <w:tcW w:type="dxa" w:w="3175"/>
            <w:shd w:val="clear" w:color="auto" w:fill="EEF2F8"/>
            <w:vAlign w:val="center"/>
          </w:tcPr>
          <w:p>
            <w:pPr>
              <w:spacing w:after="20" w:before="20"/>
            </w:pPr>
            <w:r>
              <w:rPr>
                <w:b w:val="0"/>
                <w:i w:val="0"/>
                <w:sz w:val="19"/>
              </w:rPr>
              <w:t>PINN v2 + katmanlar — litolojisiz (ablasyon)</w:t>
            </w:r>
          </w:p>
        </w:tc>
        <w:tc>
          <w:tcPr>
            <w:tcW w:type="dxa" w:w="1871"/>
            <w:shd w:val="clear" w:color="auto" w:fill="EEF2F8"/>
            <w:vAlign w:val="center"/>
          </w:tcPr>
          <w:p>
            <w:pPr>
              <w:spacing w:after="20" w:before="20"/>
              <w:jc w:val="right"/>
            </w:pPr>
            <w:r>
              <w:rPr>
                <w:b w:val="0"/>
                <w:i w:val="0"/>
                <w:sz w:val="19"/>
              </w:rPr>
              <w:t>0,967 ± 0,011</w:t>
            </w:r>
          </w:p>
        </w:tc>
        <w:tc>
          <w:tcPr>
            <w:tcW w:type="dxa" w:w="1587"/>
            <w:shd w:val="clear" w:color="auto" w:fill="EEF2F8"/>
            <w:vAlign w:val="center"/>
          </w:tcPr>
          <w:p>
            <w:pPr>
              <w:spacing w:after="20" w:before="20"/>
              <w:jc w:val="right"/>
            </w:pPr>
            <w:r>
              <w:rPr>
                <w:b w:val="0"/>
                <w:i w:val="0"/>
                <w:sz w:val="19"/>
              </w:rPr>
              <w:t>0,913</w:t>
            </w:r>
          </w:p>
        </w:tc>
        <w:tc>
          <w:tcPr>
            <w:tcW w:type="dxa" w:w="1247"/>
            <w:shd w:val="clear" w:color="auto" w:fill="EEF2F8"/>
            <w:vAlign w:val="center"/>
          </w:tcPr>
          <w:p>
            <w:pPr>
              <w:spacing w:after="20" w:before="20"/>
              <w:jc w:val="right"/>
            </w:pPr>
            <w:r>
              <w:rPr>
                <w:b w:val="0"/>
                <w:i w:val="0"/>
                <w:sz w:val="19"/>
              </w:rPr>
              <w:t>0,842</w:t>
            </w:r>
          </w:p>
        </w:tc>
        <w:tc>
          <w:tcPr>
            <w:tcW w:type="dxa" w:w="1587"/>
            <w:shd w:val="clear" w:color="auto" w:fill="EEF2F8"/>
            <w:vAlign w:val="center"/>
          </w:tcPr>
          <w:p>
            <w:pPr>
              <w:spacing w:after="20" w:before="20"/>
              <w:jc w:val="right"/>
            </w:pPr>
            <w:r>
              <w:rPr>
                <w:b w:val="0"/>
                <w:i w:val="0"/>
                <w:sz w:val="19"/>
              </w:rPr>
              <w:t>%0,2</w:t>
            </w:r>
          </w:p>
        </w:tc>
      </w:tr>
    </w:tbl>
    <w:p>
      <w:pPr>
        <w:spacing w:after="40"/>
      </w:pPr>
    </w:p>
    <w:p>
      <w:r>
        <w:rPr>
          <w:b w:val="0"/>
          <w:i/>
          <w:color w:val="595959"/>
          <w:sz w:val="18"/>
        </w:rPr>
        <w:t>* PGA artırıldığında heyelan olasılığının düştüğü (fiziğe aykırı davranan) test örneklerinin oranı.</w:t>
      </w:r>
    </w:p>
    <w:p>
      <w:pPr>
        <w:pStyle w:val="ListBullet"/>
        <w:spacing w:after="60"/>
      </w:pPr>
      <w:r>
        <w:rPr>
          <w:b w:val="0"/>
          <w:i w:val="0"/>
        </w:rPr>
        <w:t>Öğrenen modellerin ayırma gücü birbirine çok yakın (farklar ölçüm belirsizliğinin içinde); saf fizik (Newmark) tek başına zayıf kalıyor.</w:t>
      </w:r>
    </w:p>
    <w:p>
      <w:pPr>
        <w:pStyle w:val="ListBullet"/>
        <w:spacing w:after="60"/>
      </w:pPr>
      <w:r>
        <w:rPr>
          <w:b/>
          <w:i w:val="0"/>
        </w:rPr>
        <w:t>Asıl fark fiziksel tutarlılıkta:</w:t>
      </w:r>
      <w:r>
        <w:rPr>
          <w:b w:val="0"/>
          <w:i w:val="0"/>
        </w:rPr>
        <w:t xml:space="preserve"> Fizik kısıtı olmayan modeller (Random Forest, Gradient Boosting, MLP, PINN v1) örneklerin %56–73’ünde, deprem şiddetlendikçe heyelan riskini azaltıyor. PINN v2’de bu oran %0,0.</w:t>
      </w:r>
    </w:p>
    <w:p>
      <w:pPr>
        <w:pStyle w:val="ListBullet"/>
        <w:spacing w:after="60"/>
      </w:pPr>
      <w:r>
        <w:rPr>
          <w:b/>
          <w:i w:val="0"/>
        </w:rPr>
        <w:t>Açık kaynak katmanlar</w:t>
      </w:r>
      <w:r>
        <w:rPr>
          <w:b w:val="0"/>
          <w:i w:val="0"/>
        </w:rPr>
        <w:t xml:space="preserve"> (“+ katmanlar” satırları) tüm modellerde ayırma gücünü belirgin artırdı: PINN v2 için AUC 0,947 → 0,965, dik arazide 0,887 → 0,909.</w:t>
      </w:r>
    </w:p>
    <w:p>
      <w:pPr>
        <w:pStyle w:val="ListBullet"/>
        <w:spacing w:after="60"/>
      </w:pPr>
      <w:r>
        <w:rPr>
          <w:b w:val="0"/>
          <w:i w:val="0"/>
        </w:rPr>
        <w:t>Fizik kısıtı doğruluktan ödün vermeden fiziksel tutarlılık sağlıyor; bu, Kritik PGA analizinin güvenilir olmasının ön koşuludur.</w:t>
      </w:r>
    </w:p>
    <w:p>
      <w:pPr>
        <w:keepNext/>
        <w:jc w:val="center"/>
      </w:pPr>
      <w:r>
        <w:drawing>
          <wp:inline xmlns:a="http://schemas.openxmlformats.org/drawingml/2006/main" xmlns:pic="http://schemas.openxmlformats.org/drawingml/2006/picture">
            <wp:extent cx="4860000" cy="3198519"/>
            <wp:docPr id="3" name="Picture 3"/>
            <wp:cNvGraphicFramePr>
              <a:graphicFrameLocks noChangeAspect="1"/>
            </wp:cNvGraphicFramePr>
            <a:graphic>
              <a:graphicData uri="http://schemas.openxmlformats.org/drawingml/2006/picture">
                <pic:pic>
                  <pic:nvPicPr>
                    <pic:cNvPr id="0" name="benchmark_consistency.png"/>
                    <pic:cNvPicPr/>
                  </pic:nvPicPr>
                  <pic:blipFill>
                    <a:blip r:embed="rId11"/>
                    <a:stretch>
                      <a:fillRect/>
                    </a:stretch>
                  </pic:blipFill>
                  <pic:spPr>
                    <a:xfrm>
                      <a:off x="0" y="0"/>
                      <a:ext cx="4860000" cy="3198519"/>
                    </a:xfrm>
                    <a:prstGeom prst="rect"/>
                  </pic:spPr>
                </pic:pic>
              </a:graphicData>
            </a:graphic>
          </wp:inline>
        </w:drawing>
      </w:r>
    </w:p>
    <w:p>
      <w:pPr>
        <w:spacing w:after="200"/>
        <w:jc w:val="center"/>
      </w:pPr>
      <w:r>
        <w:rPr>
          <w:b w:val="0"/>
          <w:i/>
          <w:color w:val="595959"/>
          <w:sz w:val="19"/>
        </w:rPr>
        <w:t>Şekil 3. Doğruluk – fiziksel tutarlılık düzlemi. Sol üst köşe en iyidir.</w:t>
      </w:r>
    </w:p>
    <w:p>
      <w:pPr>
        <w:pStyle w:val="Heading2"/>
      </w:pPr>
      <w:r>
        <w:t>5.2 Nihai Model Başarımı</w:t>
      </w:r>
    </w:p>
    <w:tbl>
      <w:tblPr>
        <w:tblStyle w:val="TableGrid"/>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3167"/>
        <w:gridCol w:w="3167"/>
        <w:gridCol w:w="3167"/>
      </w:tblGrid>
      <w:tr>
        <w:tc>
          <w:tcPr>
            <w:tcW w:type="dxa" w:w="2835"/>
            <w:shd w:val="clear" w:color="auto" w:fill="1F3864"/>
            <w:vAlign w:val="center"/>
          </w:tcPr>
          <w:p>
            <w:pPr>
              <w:spacing w:after="20" w:before="20"/>
            </w:pPr>
            <w:r/>
            <w:r>
              <w:rPr>
                <w:b/>
                <w:color w:val="FFFFFF"/>
                <w:sz w:val="19"/>
              </w:rPr>
              <w:t>Metrik</w:t>
            </w:r>
          </w:p>
        </w:tc>
        <w:tc>
          <w:tcPr>
            <w:tcW w:type="dxa" w:w="1928"/>
            <w:shd w:val="clear" w:color="auto" w:fill="1F3864"/>
            <w:vAlign w:val="center"/>
          </w:tcPr>
          <w:p>
            <w:pPr>
              <w:spacing w:after="20" w:before="20"/>
              <w:jc w:val="right"/>
            </w:pPr>
            <w:r/>
            <w:r>
              <w:rPr>
                <w:b/>
                <w:color w:val="FFFFFF"/>
                <w:sz w:val="19"/>
              </w:rPr>
              <w:t>Değer</w:t>
            </w:r>
          </w:p>
        </w:tc>
        <w:tc>
          <w:tcPr>
            <w:tcW w:type="dxa" w:w="4706"/>
            <w:shd w:val="clear" w:color="auto" w:fill="1F3864"/>
            <w:vAlign w:val="center"/>
          </w:tcPr>
          <w:p>
            <w:pPr>
              <w:spacing w:after="20" w:before="20"/>
              <w:jc w:val="right"/>
            </w:pPr>
            <w:r/>
            <w:r>
              <w:rPr>
                <w:b/>
                <w:color w:val="FFFFFF"/>
                <w:sz w:val="19"/>
              </w:rPr>
              <w:t>Anlamı</w:t>
            </w:r>
          </w:p>
        </w:tc>
      </w:tr>
      <w:tr>
        <w:tc>
          <w:tcPr>
            <w:tcW w:type="dxa" w:w="2835"/>
            <w:vAlign w:val="center"/>
          </w:tcPr>
          <w:p>
            <w:pPr>
              <w:spacing w:after="20" w:before="20"/>
            </w:pPr>
            <w:r>
              <w:rPr>
                <w:b w:val="0"/>
                <w:i w:val="0"/>
                <w:sz w:val="19"/>
              </w:rPr>
              <w:t>ROC-AUC (5 kat ortalaması)</w:t>
            </w:r>
          </w:p>
        </w:tc>
        <w:tc>
          <w:tcPr>
            <w:tcW w:type="dxa" w:w="1928"/>
            <w:vAlign w:val="center"/>
          </w:tcPr>
          <w:p>
            <w:pPr>
              <w:spacing w:after="20" w:before="20"/>
              <w:jc w:val="right"/>
            </w:pPr>
            <w:r>
              <w:rPr>
                <w:b w:val="0"/>
                <w:i w:val="0"/>
                <w:sz w:val="19"/>
              </w:rPr>
              <w:t>0,965 ± 0,013</w:t>
            </w:r>
          </w:p>
        </w:tc>
        <w:tc>
          <w:tcPr>
            <w:tcW w:type="dxa" w:w="4706"/>
            <w:vAlign w:val="center"/>
          </w:tcPr>
          <w:p>
            <w:pPr>
              <w:spacing w:after="20" w:before="20"/>
              <w:jc w:val="right"/>
            </w:pPr>
            <w:r>
              <w:rPr>
                <w:b w:val="0"/>
                <w:i w:val="0"/>
                <w:sz w:val="19"/>
              </w:rPr>
              <w:t>Heyelan/heyelan-değil ayırma gücü (1,0 mükemmel)</w:t>
            </w:r>
          </w:p>
        </w:tc>
      </w:tr>
      <w:tr>
        <w:tc>
          <w:tcPr>
            <w:tcW w:type="dxa" w:w="2835"/>
            <w:shd w:val="clear" w:color="auto" w:fill="EEF2F8"/>
            <w:vAlign w:val="center"/>
          </w:tcPr>
          <w:p>
            <w:pPr>
              <w:spacing w:after="20" w:before="20"/>
            </w:pPr>
            <w:r>
              <w:rPr>
                <w:b w:val="0"/>
                <w:i w:val="0"/>
                <w:sz w:val="19"/>
              </w:rPr>
              <w:t>ROC-AUC (ayrık test bölgeleri)</w:t>
            </w:r>
          </w:p>
        </w:tc>
        <w:tc>
          <w:tcPr>
            <w:tcW w:type="dxa" w:w="1928"/>
            <w:shd w:val="clear" w:color="auto" w:fill="EEF2F8"/>
            <w:vAlign w:val="center"/>
          </w:tcPr>
          <w:p>
            <w:pPr>
              <w:spacing w:after="20" w:before="20"/>
              <w:jc w:val="right"/>
            </w:pPr>
            <w:r>
              <w:rPr>
                <w:b w:val="0"/>
                <w:i w:val="0"/>
                <w:sz w:val="19"/>
              </w:rPr>
              <w:t>0,966</w:t>
            </w:r>
          </w:p>
        </w:tc>
        <w:tc>
          <w:tcPr>
            <w:tcW w:type="dxa" w:w="4706"/>
            <w:shd w:val="clear" w:color="auto" w:fill="EEF2F8"/>
            <w:vAlign w:val="center"/>
          </w:tcPr>
          <w:p>
            <w:pPr>
              <w:spacing w:after="20" w:before="20"/>
              <w:jc w:val="right"/>
            </w:pPr>
            <w:r>
              <w:rPr>
                <w:b w:val="0"/>
                <w:i w:val="0"/>
                <w:sz w:val="19"/>
              </w:rPr>
              <w:t>Eğitimde hiç görülmeyen bölgelerde</w:t>
            </w:r>
          </w:p>
        </w:tc>
      </w:tr>
      <w:tr>
        <w:tc>
          <w:tcPr>
            <w:tcW w:type="dxa" w:w="2835"/>
            <w:vAlign w:val="center"/>
          </w:tcPr>
          <w:p>
            <w:pPr>
              <w:spacing w:after="20" w:before="20"/>
            </w:pPr>
            <w:r>
              <w:rPr>
                <w:b w:val="0"/>
                <w:i w:val="0"/>
                <w:sz w:val="19"/>
              </w:rPr>
              <w:t>Dik arazide ROC-AUC</w:t>
            </w:r>
          </w:p>
        </w:tc>
        <w:tc>
          <w:tcPr>
            <w:tcW w:type="dxa" w:w="1928"/>
            <w:vAlign w:val="center"/>
          </w:tcPr>
          <w:p>
            <w:pPr>
              <w:spacing w:after="20" w:before="20"/>
              <w:jc w:val="right"/>
            </w:pPr>
            <w:r>
              <w:rPr>
                <w:b w:val="0"/>
                <w:i w:val="0"/>
                <w:sz w:val="19"/>
              </w:rPr>
              <w:t>0,914</w:t>
            </w:r>
          </w:p>
        </w:tc>
        <w:tc>
          <w:tcPr>
            <w:tcW w:type="dxa" w:w="4706"/>
            <w:vAlign w:val="center"/>
          </w:tcPr>
          <w:p>
            <w:pPr>
              <w:spacing w:after="20" w:before="20"/>
              <w:jc w:val="right"/>
            </w:pPr>
            <w:r>
              <w:rPr>
                <w:b w:val="0"/>
                <w:i w:val="0"/>
                <w:sz w:val="19"/>
              </w:rPr>
              <w:t>Yalnız eğim ≥ 15° — eğim dışındaki bilgiyi ölçer</w:t>
            </w:r>
          </w:p>
        </w:tc>
      </w:tr>
      <w:tr>
        <w:tc>
          <w:tcPr>
            <w:tcW w:type="dxa" w:w="2835"/>
            <w:shd w:val="clear" w:color="auto" w:fill="EEF2F8"/>
            <w:vAlign w:val="center"/>
          </w:tcPr>
          <w:p>
            <w:pPr>
              <w:spacing w:after="20" w:before="20"/>
            </w:pPr>
            <w:r>
              <w:rPr>
                <w:b w:val="0"/>
                <w:i w:val="0"/>
                <w:sz w:val="19"/>
              </w:rPr>
              <w:t>Doğruluk (accuracy)</w:t>
            </w:r>
          </w:p>
        </w:tc>
        <w:tc>
          <w:tcPr>
            <w:tcW w:type="dxa" w:w="1928"/>
            <w:shd w:val="clear" w:color="auto" w:fill="EEF2F8"/>
            <w:vAlign w:val="center"/>
          </w:tcPr>
          <w:p>
            <w:pPr>
              <w:spacing w:after="20" w:before="20"/>
              <w:jc w:val="right"/>
            </w:pPr>
            <w:r>
              <w:rPr>
                <w:b w:val="0"/>
                <w:i w:val="0"/>
                <w:sz w:val="19"/>
              </w:rPr>
              <w:t>0,91</w:t>
            </w:r>
          </w:p>
        </w:tc>
        <w:tc>
          <w:tcPr>
            <w:tcW w:type="dxa" w:w="4706"/>
            <w:shd w:val="clear" w:color="auto" w:fill="EEF2F8"/>
            <w:vAlign w:val="center"/>
          </w:tcPr>
          <w:p>
            <w:pPr>
              <w:spacing w:after="20" w:before="20"/>
              <w:jc w:val="right"/>
            </w:pPr>
            <w:r>
              <w:rPr>
                <w:b w:val="0"/>
                <w:i w:val="0"/>
                <w:sz w:val="19"/>
              </w:rPr>
              <w:t>Genel doğru sınıflama oranı</w:t>
            </w:r>
          </w:p>
        </w:tc>
      </w:tr>
      <w:tr>
        <w:tc>
          <w:tcPr>
            <w:tcW w:type="dxa" w:w="2835"/>
            <w:vAlign w:val="center"/>
          </w:tcPr>
          <w:p>
            <w:pPr>
              <w:spacing w:after="20" w:before="20"/>
            </w:pPr>
            <w:r>
              <w:rPr>
                <w:b w:val="0"/>
                <w:i w:val="0"/>
                <w:sz w:val="19"/>
              </w:rPr>
              <w:t>Recall (heyelan)</w:t>
            </w:r>
          </w:p>
        </w:tc>
        <w:tc>
          <w:tcPr>
            <w:tcW w:type="dxa" w:w="1928"/>
            <w:vAlign w:val="center"/>
          </w:tcPr>
          <w:p>
            <w:pPr>
              <w:spacing w:after="20" w:before="20"/>
              <w:jc w:val="right"/>
            </w:pPr>
            <w:r>
              <w:rPr>
                <w:b w:val="0"/>
                <w:i w:val="0"/>
                <w:sz w:val="19"/>
              </w:rPr>
              <w:t>0,77</w:t>
            </w:r>
          </w:p>
        </w:tc>
        <w:tc>
          <w:tcPr>
            <w:tcW w:type="dxa" w:w="4706"/>
            <w:vAlign w:val="center"/>
          </w:tcPr>
          <w:p>
            <w:pPr>
              <w:spacing w:after="20" w:before="20"/>
              <w:jc w:val="right"/>
            </w:pPr>
            <w:r>
              <w:rPr>
                <w:b w:val="0"/>
                <w:i w:val="0"/>
                <w:sz w:val="19"/>
              </w:rPr>
              <w:t>Gerçek heyelanların %77’ini yakalıyor</w:t>
            </w:r>
          </w:p>
        </w:tc>
      </w:tr>
      <w:tr>
        <w:tc>
          <w:tcPr>
            <w:tcW w:type="dxa" w:w="2835"/>
            <w:shd w:val="clear" w:color="auto" w:fill="EEF2F8"/>
            <w:vAlign w:val="center"/>
          </w:tcPr>
          <w:p>
            <w:pPr>
              <w:spacing w:after="20" w:before="20"/>
            </w:pPr>
            <w:r>
              <w:rPr>
                <w:b w:val="0"/>
                <w:i w:val="0"/>
                <w:sz w:val="19"/>
              </w:rPr>
              <w:t>Precision (heyelan)</w:t>
            </w:r>
          </w:p>
        </w:tc>
        <w:tc>
          <w:tcPr>
            <w:tcW w:type="dxa" w:w="1928"/>
            <w:shd w:val="clear" w:color="auto" w:fill="EEF2F8"/>
            <w:vAlign w:val="center"/>
          </w:tcPr>
          <w:p>
            <w:pPr>
              <w:spacing w:after="20" w:before="20"/>
              <w:jc w:val="right"/>
            </w:pPr>
            <w:r>
              <w:rPr>
                <w:b w:val="0"/>
                <w:i w:val="0"/>
                <w:sz w:val="19"/>
              </w:rPr>
              <w:t>0,89</w:t>
            </w:r>
          </w:p>
        </w:tc>
        <w:tc>
          <w:tcPr>
            <w:tcW w:type="dxa" w:w="4706"/>
            <w:shd w:val="clear" w:color="auto" w:fill="EEF2F8"/>
            <w:vAlign w:val="center"/>
          </w:tcPr>
          <w:p>
            <w:pPr>
              <w:spacing w:after="20" w:before="20"/>
              <w:jc w:val="right"/>
            </w:pPr>
            <w:r>
              <w:rPr>
                <w:b w:val="0"/>
                <w:i w:val="0"/>
                <w:sz w:val="19"/>
              </w:rPr>
              <w:t>“Heyelan” dediğinin %89’i gerçekten heyelan</w:t>
            </w:r>
          </w:p>
        </w:tc>
      </w:tr>
      <w:tr>
        <w:tc>
          <w:tcPr>
            <w:tcW w:type="dxa" w:w="2835"/>
            <w:vAlign w:val="center"/>
          </w:tcPr>
          <w:p>
            <w:pPr>
              <w:spacing w:after="20" w:before="20"/>
            </w:pPr>
            <w:r>
              <w:rPr>
                <w:b w:val="0"/>
                <w:i w:val="0"/>
                <w:sz w:val="19"/>
              </w:rPr>
              <w:t>F1 (heyelan)</w:t>
            </w:r>
          </w:p>
        </w:tc>
        <w:tc>
          <w:tcPr>
            <w:tcW w:type="dxa" w:w="1928"/>
            <w:vAlign w:val="center"/>
          </w:tcPr>
          <w:p>
            <w:pPr>
              <w:spacing w:after="20" w:before="20"/>
              <w:jc w:val="right"/>
            </w:pPr>
            <w:r>
              <w:rPr>
                <w:b w:val="0"/>
                <w:i w:val="0"/>
                <w:sz w:val="19"/>
              </w:rPr>
              <w:t>0,83</w:t>
            </w:r>
          </w:p>
        </w:tc>
        <w:tc>
          <w:tcPr>
            <w:tcW w:type="dxa" w:w="4706"/>
            <w:vAlign w:val="center"/>
          </w:tcPr>
          <w:p>
            <w:pPr>
              <w:spacing w:after="20" w:before="20"/>
              <w:jc w:val="right"/>
            </w:pPr>
            <w:r>
              <w:rPr>
                <w:b w:val="0"/>
                <w:i w:val="0"/>
                <w:sz w:val="19"/>
              </w:rPr>
              <w:t>Recall + precision dengesi</w:t>
            </w:r>
          </w:p>
        </w:tc>
      </w:tr>
      <w:tr>
        <w:tc>
          <w:tcPr>
            <w:tcW w:type="dxa" w:w="2835"/>
            <w:shd w:val="clear" w:color="auto" w:fill="EEF2F8"/>
            <w:vAlign w:val="center"/>
          </w:tcPr>
          <w:p>
            <w:pPr>
              <w:spacing w:after="20" w:before="20"/>
            </w:pPr>
            <w:r>
              <w:rPr>
                <w:b w:val="0"/>
                <w:i w:val="0"/>
                <w:sz w:val="19"/>
              </w:rPr>
              <w:t>Fizik ihlali</w:t>
            </w:r>
          </w:p>
        </w:tc>
        <w:tc>
          <w:tcPr>
            <w:tcW w:type="dxa" w:w="1928"/>
            <w:shd w:val="clear" w:color="auto" w:fill="EEF2F8"/>
            <w:vAlign w:val="center"/>
          </w:tcPr>
          <w:p>
            <w:pPr>
              <w:spacing w:after="20" w:before="20"/>
              <w:jc w:val="right"/>
            </w:pPr>
            <w:r>
              <w:rPr>
                <w:b w:val="0"/>
                <w:i w:val="0"/>
                <w:sz w:val="19"/>
              </w:rPr>
              <w:t>%0,1</w:t>
            </w:r>
          </w:p>
        </w:tc>
        <w:tc>
          <w:tcPr>
            <w:tcW w:type="dxa" w:w="4706"/>
            <w:shd w:val="clear" w:color="auto" w:fill="EEF2F8"/>
            <w:vAlign w:val="center"/>
          </w:tcPr>
          <w:p>
            <w:pPr>
              <w:spacing w:after="20" w:before="20"/>
              <w:jc w:val="right"/>
            </w:pPr>
            <w:r>
              <w:rPr>
                <w:b w:val="0"/>
                <w:i w:val="0"/>
                <w:sz w:val="19"/>
              </w:rPr>
              <w:t>PGA artınca olasılığın düştüğü örnek oranı</w:t>
            </w:r>
          </w:p>
        </w:tc>
      </w:tr>
    </w:tbl>
    <w:p>
      <w:pPr>
        <w:spacing w:after="40"/>
      </w:pPr>
    </w:p>
    <w:p>
      <w:r>
        <w:rPr>
          <w:b w:val="0"/>
          <w:i w:val="0"/>
          <w:sz w:val="20"/>
        </w:rPr>
        <w:t>Karar eşiği (0,48) test setinde değil, ayrı doğrulama bölgelerinde F1’i maksimize edecek şekilde seçildi — bu, sonucun “şişirilmediğini” garanti eder.</w:t>
      </w:r>
    </w:p>
    <w:p>
      <w:pPr>
        <w:pStyle w:val="Heading2"/>
      </w:pPr>
      <w:r>
        <w:t>5.3 En Önemli Değişkenler (SHAP)</w:t>
      </w:r>
    </w:p>
    <w:p>
      <w:r>
        <w:rPr>
          <w:b w:val="0"/>
          <w:i w:val="0"/>
        </w:rPr>
        <w:t xml:space="preserve">Modelin kararını en çok etkileyen faktörler sırasıyla: </w:t>
      </w:r>
      <w:r>
        <w:rPr>
          <w:b/>
          <w:i w:val="0"/>
        </w:rPr>
        <w:t>yükseklik &gt; PGA &gt; log_tri &gt; eğim &gt; log_relief</w:t>
      </w:r>
      <w:r>
        <w:rPr>
          <w:b w:val="0"/>
          <w:i w:val="0"/>
        </w:rPr>
        <w:t>. Eğim ve deprem şiddetinin başı çekmesi mühendislik sezgisiyle uyumludur (dik yamaç + güçlü sarsıntı = en büyük risk).</w:t>
      </w:r>
    </w:p>
    <w:p>
      <w:pPr>
        <w:keepNext/>
        <w:jc w:val="center"/>
      </w:pPr>
      <w:r>
        <w:drawing>
          <wp:inline xmlns:a="http://schemas.openxmlformats.org/drawingml/2006/main" xmlns:pic="http://schemas.openxmlformats.org/drawingml/2006/picture">
            <wp:extent cx="5760000" cy="2525332"/>
            <wp:docPr id="4" name="Picture 4"/>
            <wp:cNvGraphicFramePr>
              <a:graphicFrameLocks noChangeAspect="1"/>
            </wp:cNvGraphicFramePr>
            <a:graphic>
              <a:graphicData uri="http://schemas.openxmlformats.org/drawingml/2006/picture">
                <pic:pic>
                  <pic:nvPicPr>
                    <pic:cNvPr id="0" name="shap_summary.png"/>
                    <pic:cNvPicPr/>
                  </pic:nvPicPr>
                  <pic:blipFill>
                    <a:blip r:embed="rId12"/>
                    <a:stretch>
                      <a:fillRect/>
                    </a:stretch>
                  </pic:blipFill>
                  <pic:spPr>
                    <a:xfrm>
                      <a:off x="0" y="0"/>
                      <a:ext cx="5760000" cy="2525332"/>
                    </a:xfrm>
                    <a:prstGeom prst="rect"/>
                  </pic:spPr>
                </pic:pic>
              </a:graphicData>
            </a:graphic>
          </wp:inline>
        </w:drawing>
      </w:r>
    </w:p>
    <w:p>
      <w:pPr>
        <w:spacing w:after="200"/>
        <w:jc w:val="center"/>
      </w:pPr>
      <w:r>
        <w:rPr>
          <w:b w:val="0"/>
          <w:i/>
          <w:color w:val="595959"/>
          <w:sz w:val="19"/>
        </w:rPr>
        <w:t>Şekil 4. SHAP öznitelik önem sıralaması (litoloji sınıfları tek grup olarak).</w:t>
      </w:r>
    </w:p>
    <w:p>
      <w:pPr>
        <w:pStyle w:val="Heading2"/>
      </w:pPr>
      <w:r>
        <w:t>5.4 Bölgesel Duyarlılık Haritası ve Ampirik Doğrulama</w:t>
      </w:r>
    </w:p>
    <w:p>
      <w:r>
        <w:rPr>
          <w:b w:val="0"/>
          <w:i w:val="0"/>
        </w:rPr>
        <w:t>Eğitilmiş model tüm çalışma alanına (Kahramanmaraş bölgesi) uygulandığında, her nokta için bir heyelan olasılığı haritası üretir.</w:t>
      </w:r>
    </w:p>
    <w:p>
      <w:pPr>
        <w:keepNext/>
        <w:jc w:val="center"/>
      </w:pPr>
      <w:r>
        <w:drawing>
          <wp:inline xmlns:a="http://schemas.openxmlformats.org/drawingml/2006/main" xmlns:pic="http://schemas.openxmlformats.org/drawingml/2006/picture">
            <wp:extent cx="5400000" cy="3927273"/>
            <wp:docPr id="5" name="Picture 5"/>
            <wp:cNvGraphicFramePr>
              <a:graphicFrameLocks noChangeAspect="1"/>
            </wp:cNvGraphicFramePr>
            <a:graphic>
              <a:graphicData uri="http://schemas.openxmlformats.org/drawingml/2006/picture">
                <pic:pic>
                  <pic:nvPicPr>
                    <pic:cNvPr id="0" name="susceptibility_map_real.png"/>
                    <pic:cNvPicPr/>
                  </pic:nvPicPr>
                  <pic:blipFill>
                    <a:blip r:embed="rId13"/>
                    <a:stretch>
                      <a:fillRect/>
                    </a:stretch>
                  </pic:blipFill>
                  <pic:spPr>
                    <a:xfrm>
                      <a:off x="0" y="0"/>
                      <a:ext cx="5400000" cy="3927273"/>
                    </a:xfrm>
                    <a:prstGeom prst="rect"/>
                  </pic:spPr>
                </pic:pic>
              </a:graphicData>
            </a:graphic>
          </wp:inline>
        </w:drawing>
      </w:r>
    </w:p>
    <w:p>
      <w:pPr>
        <w:spacing w:after="200"/>
        <w:jc w:val="center"/>
      </w:pPr>
      <w:r>
        <w:rPr>
          <w:b w:val="0"/>
          <w:i/>
          <w:color w:val="595959"/>
          <w:sz w:val="19"/>
        </w:rPr>
        <w:t>Şekil 5. Bölgesel heyelan duyarlılık haritası (kırmızı = yüksek risk; siyah konturlar: gözlenen envanter).</w:t>
      </w:r>
    </w:p>
    <w:p>
      <w:r>
        <w:rPr>
          <w:b w:val="0"/>
          <w:i w:val="0"/>
        </w:rPr>
        <w:t xml:space="preserve">Haritanın gözlemle uyumu sayısal olarak da ölçüldü: envanter poligonları aynı ızgaraya aktarıldı ve eğim × PGA sınıflarında gözlenen heyelan yoğunluğu ile model olasılığı karşılaştırıldı. </w:t>
      </w:r>
      <w:r>
        <w:rPr>
          <w:b/>
          <w:i w:val="0"/>
        </w:rPr>
        <w:t>Spearman sıra korelasyonu ρ = 0,86</w:t>
      </w:r>
      <w:r>
        <w:rPr>
          <w:b w:val="0"/>
          <w:i w:val="0"/>
        </w:rPr>
        <w:t xml:space="preserve"> — model, heyelanın nerede yoğunlaştığını doğru sıralıyor.</w:t>
      </w:r>
    </w:p>
    <w:p>
      <w:pPr>
        <w:keepNext/>
        <w:jc w:val="center"/>
      </w:pPr>
      <w:r>
        <w:drawing>
          <wp:inline xmlns:a="http://schemas.openxmlformats.org/drawingml/2006/main" xmlns:pic="http://schemas.openxmlformats.org/drawingml/2006/picture">
            <wp:extent cx="5760000" cy="2304000"/>
            <wp:docPr id="6" name="Picture 6"/>
            <wp:cNvGraphicFramePr>
              <a:graphicFrameLocks noChangeAspect="1"/>
            </wp:cNvGraphicFramePr>
            <a:graphic>
              <a:graphicData uri="http://schemas.openxmlformats.org/drawingml/2006/picture">
                <pic:pic>
                  <pic:nvPicPr>
                    <pic:cNvPr id="0" name="empirical_validation.png"/>
                    <pic:cNvPicPr/>
                  </pic:nvPicPr>
                  <pic:blipFill>
                    <a:blip r:embed="rId14"/>
                    <a:stretch>
                      <a:fillRect/>
                    </a:stretch>
                  </pic:blipFill>
                  <pic:spPr>
                    <a:xfrm>
                      <a:off x="0" y="0"/>
                      <a:ext cx="5760000" cy="2304000"/>
                    </a:xfrm>
                    <a:prstGeom prst="rect"/>
                  </pic:spPr>
                </pic:pic>
              </a:graphicData>
            </a:graphic>
          </wp:inline>
        </w:drawing>
      </w:r>
    </w:p>
    <w:p>
      <w:pPr>
        <w:spacing w:after="200"/>
        <w:jc w:val="center"/>
      </w:pPr>
      <w:r>
        <w:rPr>
          <w:b w:val="0"/>
          <w:i/>
          <w:color w:val="595959"/>
          <w:sz w:val="19"/>
        </w:rPr>
        <w:t>Şekil 6. Solda gözlenen frekans oranı, sağda modelin olabilirlik oranı (log ölçek; 1 = nötr).</w:t>
      </w:r>
    </w:p>
    <w:p>
      <w:pPr>
        <w:pStyle w:val="Heading2"/>
      </w:pPr>
      <w:r>
        <w:t>5.5 FEM Pilot Analizi</w:t>
      </w:r>
    </w:p>
    <w:p>
      <w:r>
        <w:rPr>
          <w:b w:val="0"/>
          <w:i w:val="0"/>
        </w:rPr>
        <w:t>İki pilot heyelan için FEM-SSR, sonsuz şev (Mohr-Coulomb) hesabıyla karşılaştırıldı (20 m yüksekliğinde idealize yamaç kesiti):</w:t>
      </w:r>
    </w:p>
    <w:tbl>
      <w:tblPr>
        <w:tblStyle w:val="TableGrid"/>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1357"/>
        <w:gridCol w:w="1357"/>
        <w:gridCol w:w="1357"/>
        <w:gridCol w:w="1357"/>
        <w:gridCol w:w="1357"/>
        <w:gridCol w:w="1357"/>
        <w:gridCol w:w="1357"/>
      </w:tblGrid>
      <w:tr>
        <w:tc>
          <w:tcPr>
            <w:tcW w:type="dxa" w:w="2835"/>
            <w:shd w:val="clear" w:color="auto" w:fill="1F3864"/>
            <w:vAlign w:val="center"/>
          </w:tcPr>
          <w:p>
            <w:pPr>
              <w:spacing w:after="20" w:before="20"/>
            </w:pPr>
            <w:r/>
            <w:r>
              <w:rPr>
                <w:b/>
                <w:color w:val="FFFFFF"/>
                <w:sz w:val="18"/>
              </w:rPr>
              <w:t>Pilot</w:t>
            </w:r>
          </w:p>
        </w:tc>
        <w:tc>
          <w:tcPr>
            <w:tcW w:type="dxa" w:w="907"/>
            <w:shd w:val="clear" w:color="auto" w:fill="1F3864"/>
            <w:vAlign w:val="center"/>
          </w:tcPr>
          <w:p>
            <w:pPr>
              <w:spacing w:after="20" w:before="20"/>
              <w:jc w:val="right"/>
            </w:pPr>
            <w:r/>
            <w:r>
              <w:rPr>
                <w:b/>
                <w:color w:val="FFFFFF"/>
                <w:sz w:val="18"/>
              </w:rPr>
              <w:t>FS (FEM)</w:t>
            </w:r>
          </w:p>
        </w:tc>
        <w:tc>
          <w:tcPr>
            <w:tcW w:type="dxa" w:w="1134"/>
            <w:shd w:val="clear" w:color="auto" w:fill="1F3864"/>
            <w:vAlign w:val="center"/>
          </w:tcPr>
          <w:p>
            <w:pPr>
              <w:spacing w:after="20" w:before="20"/>
              <w:jc w:val="right"/>
            </w:pPr>
            <w:r/>
            <w:r>
              <w:rPr>
                <w:b/>
                <w:color w:val="FFFFFF"/>
                <w:sz w:val="18"/>
              </w:rPr>
              <w:t>FS (sonsuz şev)</w:t>
            </w:r>
          </w:p>
        </w:tc>
        <w:tc>
          <w:tcPr>
            <w:tcW w:type="dxa" w:w="1077"/>
            <w:shd w:val="clear" w:color="auto" w:fill="1F3864"/>
            <w:vAlign w:val="center"/>
          </w:tcPr>
          <w:p>
            <w:pPr>
              <w:spacing w:after="20" w:before="20"/>
              <w:jc w:val="right"/>
            </w:pPr>
            <w:r/>
            <w:r>
              <w:rPr>
                <w:b/>
                <w:color w:val="FFFFFF"/>
                <w:sz w:val="18"/>
              </w:rPr>
              <w:t>Kᵧ FEM</w:t>
            </w:r>
          </w:p>
        </w:tc>
        <w:tc>
          <w:tcPr>
            <w:tcW w:type="dxa" w:w="1191"/>
            <w:shd w:val="clear" w:color="auto" w:fill="1F3864"/>
            <w:vAlign w:val="center"/>
          </w:tcPr>
          <w:p>
            <w:pPr>
              <w:spacing w:after="20" w:before="20"/>
              <w:jc w:val="right"/>
            </w:pPr>
            <w:r/>
            <w:r>
              <w:rPr>
                <w:b/>
                <w:color w:val="FFFFFF"/>
                <w:sz w:val="18"/>
              </w:rPr>
              <w:t>Kᵧ sonsuz şev</w:t>
            </w:r>
          </w:p>
        </w:tc>
        <w:tc>
          <w:tcPr>
            <w:tcW w:type="dxa" w:w="850"/>
            <w:shd w:val="clear" w:color="auto" w:fill="1F3864"/>
            <w:vAlign w:val="center"/>
          </w:tcPr>
          <w:p>
            <w:pPr>
              <w:spacing w:after="20" w:before="20"/>
              <w:jc w:val="right"/>
            </w:pPr>
            <w:r/>
            <w:r>
              <w:rPr>
                <w:b/>
                <w:color w:val="FFFFFF"/>
                <w:sz w:val="18"/>
              </w:rPr>
              <w:t>PGA</w:t>
            </w:r>
          </w:p>
        </w:tc>
        <w:tc>
          <w:tcPr>
            <w:tcW w:type="dxa" w:w="1474"/>
            <w:shd w:val="clear" w:color="auto" w:fill="1F3864"/>
            <w:vAlign w:val="center"/>
          </w:tcPr>
          <w:p>
            <w:pPr>
              <w:spacing w:after="20" w:before="20"/>
              <w:jc w:val="right"/>
            </w:pPr>
            <w:r/>
            <w:r>
              <w:rPr>
                <w:b/>
                <w:color w:val="FFFFFF"/>
                <w:sz w:val="18"/>
              </w:rPr>
              <w:t>Dₙ (FEM / sonsuz)</w:t>
            </w:r>
          </w:p>
        </w:tc>
      </w:tr>
      <w:tr>
        <w:tc>
          <w:tcPr>
            <w:tcW w:type="dxa" w:w="2835"/>
            <w:vAlign w:val="center"/>
          </w:tcPr>
          <w:p>
            <w:pPr>
              <w:spacing w:after="20" w:before="20"/>
            </w:pPr>
            <w:r>
              <w:rPr>
                <w:b w:val="0"/>
                <w:i w:val="0"/>
                <w:sz w:val="18"/>
              </w:rPr>
              <w:t>ID 1327 — Yamaç molozu / kolüvyon, θ = 28°</w:t>
            </w:r>
          </w:p>
        </w:tc>
        <w:tc>
          <w:tcPr>
            <w:tcW w:type="dxa" w:w="907"/>
            <w:vAlign w:val="center"/>
          </w:tcPr>
          <w:p>
            <w:pPr>
              <w:spacing w:after="20" w:before="20"/>
              <w:jc w:val="right"/>
            </w:pPr>
            <w:r>
              <w:rPr>
                <w:b w:val="0"/>
                <w:i w:val="0"/>
                <w:sz w:val="18"/>
              </w:rPr>
              <w:t>1,19</w:t>
            </w:r>
          </w:p>
        </w:tc>
        <w:tc>
          <w:tcPr>
            <w:tcW w:type="dxa" w:w="1134"/>
            <w:vAlign w:val="center"/>
          </w:tcPr>
          <w:p>
            <w:pPr>
              <w:spacing w:after="20" w:before="20"/>
              <w:jc w:val="right"/>
            </w:pPr>
            <w:r>
              <w:rPr>
                <w:b w:val="0"/>
                <w:i w:val="0"/>
                <w:sz w:val="18"/>
              </w:rPr>
              <w:t>1,18</w:t>
            </w:r>
          </w:p>
        </w:tc>
        <w:tc>
          <w:tcPr>
            <w:tcW w:type="dxa" w:w="1077"/>
            <w:vAlign w:val="center"/>
          </w:tcPr>
          <w:p>
            <w:pPr>
              <w:spacing w:after="20" w:before="20"/>
              <w:jc w:val="right"/>
            </w:pPr>
            <w:r>
              <w:rPr>
                <w:b w:val="0"/>
                <w:i w:val="0"/>
                <w:sz w:val="18"/>
              </w:rPr>
              <w:t>0,080 g</w:t>
            </w:r>
          </w:p>
        </w:tc>
        <w:tc>
          <w:tcPr>
            <w:tcW w:type="dxa" w:w="1191"/>
            <w:vAlign w:val="center"/>
          </w:tcPr>
          <w:p>
            <w:pPr>
              <w:spacing w:after="20" w:before="20"/>
              <w:jc w:val="right"/>
            </w:pPr>
            <w:r>
              <w:rPr>
                <w:b w:val="0"/>
                <w:i w:val="0"/>
                <w:sz w:val="18"/>
              </w:rPr>
              <w:t>0,082 g</w:t>
            </w:r>
          </w:p>
        </w:tc>
        <w:tc>
          <w:tcPr>
            <w:tcW w:type="dxa" w:w="850"/>
            <w:vAlign w:val="center"/>
          </w:tcPr>
          <w:p>
            <w:pPr>
              <w:spacing w:after="20" w:before="20"/>
              <w:jc w:val="right"/>
            </w:pPr>
            <w:r>
              <w:rPr>
                <w:b w:val="0"/>
                <w:i w:val="0"/>
                <w:sz w:val="18"/>
              </w:rPr>
              <w:t>0,58 g</w:t>
            </w:r>
          </w:p>
        </w:tc>
        <w:tc>
          <w:tcPr>
            <w:tcW w:type="dxa" w:w="1474"/>
            <w:vAlign w:val="center"/>
          </w:tcPr>
          <w:p>
            <w:pPr>
              <w:spacing w:after="20" w:before="20"/>
              <w:jc w:val="right"/>
            </w:pPr>
            <w:r>
              <w:rPr>
                <w:b w:val="0"/>
                <w:i w:val="0"/>
                <w:sz w:val="18"/>
              </w:rPr>
              <w:t>20,0 / 19,0 cm</w:t>
            </w:r>
          </w:p>
        </w:tc>
      </w:tr>
      <w:tr>
        <w:tc>
          <w:tcPr>
            <w:tcW w:type="dxa" w:w="2835"/>
            <w:shd w:val="clear" w:color="auto" w:fill="EEF2F8"/>
            <w:vAlign w:val="center"/>
          </w:tcPr>
          <w:p>
            <w:pPr>
              <w:spacing w:after="20" w:before="20"/>
            </w:pPr>
            <w:r>
              <w:rPr>
                <w:b w:val="0"/>
                <w:i w:val="0"/>
                <w:sz w:val="18"/>
              </w:rPr>
              <w:t>ID 1353 — Marn, θ = 22°</w:t>
            </w:r>
          </w:p>
        </w:tc>
        <w:tc>
          <w:tcPr>
            <w:tcW w:type="dxa" w:w="907"/>
            <w:shd w:val="clear" w:color="auto" w:fill="EEF2F8"/>
            <w:vAlign w:val="center"/>
          </w:tcPr>
          <w:p>
            <w:pPr>
              <w:spacing w:after="20" w:before="20"/>
              <w:jc w:val="right"/>
            </w:pPr>
            <w:r>
              <w:rPr>
                <w:b w:val="0"/>
                <w:i w:val="0"/>
                <w:sz w:val="18"/>
              </w:rPr>
              <w:t>1,91</w:t>
            </w:r>
          </w:p>
        </w:tc>
        <w:tc>
          <w:tcPr>
            <w:tcW w:type="dxa" w:w="1134"/>
            <w:shd w:val="clear" w:color="auto" w:fill="EEF2F8"/>
            <w:vAlign w:val="center"/>
          </w:tcPr>
          <w:p>
            <w:pPr>
              <w:spacing w:after="20" w:before="20"/>
              <w:jc w:val="right"/>
            </w:pPr>
            <w:r>
              <w:rPr>
                <w:b w:val="0"/>
                <w:i w:val="0"/>
                <w:sz w:val="18"/>
              </w:rPr>
              <w:t>1,60</w:t>
            </w:r>
          </w:p>
        </w:tc>
        <w:tc>
          <w:tcPr>
            <w:tcW w:type="dxa" w:w="1077"/>
            <w:shd w:val="clear" w:color="auto" w:fill="EEF2F8"/>
            <w:vAlign w:val="center"/>
          </w:tcPr>
          <w:p>
            <w:pPr>
              <w:spacing w:after="20" w:before="20"/>
              <w:jc w:val="right"/>
            </w:pPr>
            <w:r>
              <w:rPr>
                <w:b w:val="0"/>
                <w:i w:val="0"/>
                <w:sz w:val="18"/>
              </w:rPr>
              <w:t>0,279 g</w:t>
            </w:r>
          </w:p>
        </w:tc>
        <w:tc>
          <w:tcPr>
            <w:tcW w:type="dxa" w:w="1191"/>
            <w:shd w:val="clear" w:color="auto" w:fill="EEF2F8"/>
            <w:vAlign w:val="center"/>
          </w:tcPr>
          <w:p>
            <w:pPr>
              <w:spacing w:after="20" w:before="20"/>
              <w:jc w:val="right"/>
            </w:pPr>
            <w:r>
              <w:rPr>
                <w:b w:val="0"/>
                <w:i w:val="0"/>
                <w:sz w:val="18"/>
              </w:rPr>
              <w:t>0,225 g</w:t>
            </w:r>
          </w:p>
        </w:tc>
        <w:tc>
          <w:tcPr>
            <w:tcW w:type="dxa" w:w="850"/>
            <w:shd w:val="clear" w:color="auto" w:fill="EEF2F8"/>
            <w:vAlign w:val="center"/>
          </w:tcPr>
          <w:p>
            <w:pPr>
              <w:spacing w:after="20" w:before="20"/>
              <w:jc w:val="right"/>
            </w:pPr>
            <w:r>
              <w:rPr>
                <w:b w:val="0"/>
                <w:i w:val="0"/>
                <w:sz w:val="18"/>
              </w:rPr>
              <w:t>0,45 g</w:t>
            </w:r>
          </w:p>
        </w:tc>
        <w:tc>
          <w:tcPr>
            <w:tcW w:type="dxa" w:w="1474"/>
            <w:shd w:val="clear" w:color="auto" w:fill="EEF2F8"/>
            <w:vAlign w:val="center"/>
          </w:tcPr>
          <w:p>
            <w:pPr>
              <w:spacing w:after="20" w:before="20"/>
              <w:jc w:val="right"/>
            </w:pPr>
            <w:r>
              <w:rPr>
                <w:b w:val="0"/>
                <w:i w:val="0"/>
                <w:sz w:val="18"/>
              </w:rPr>
              <w:t>0,3 / 0,9 cm</w:t>
            </w:r>
          </w:p>
        </w:tc>
      </w:tr>
    </w:tbl>
    <w:p>
      <w:pPr>
        <w:spacing w:after="40"/>
      </w:pPr>
    </w:p>
    <w:p>
      <w:pPr>
        <w:pStyle w:val="ListBullet"/>
        <w:spacing w:after="60"/>
      </w:pPr>
      <w:r>
        <w:rPr>
          <w:b w:val="0"/>
          <w:i w:val="0"/>
        </w:rPr>
        <w:t>Kohezyonsuz kolüvyonda (ID 1327) FEM ve sonsuz şev neredeyse aynı sonucu veriyor: kayma yüzeye paralel ve sığ. Gerçek PGA’da Dₙ ≈ 20 cm → yamaç tetikleniyor (gözlemle uyumlu).</w:t>
      </w:r>
    </w:p>
    <w:p>
      <w:pPr>
        <w:pStyle w:val="ListBullet"/>
        <w:spacing w:after="60"/>
      </w:pPr>
      <w:r>
        <w:rPr>
          <w:b w:val="0"/>
          <w:i w:val="0"/>
        </w:rPr>
        <w:t>Kohezyonlu marnda (ID 1353) FEM daha derin, dairesel bir kayma yüzeyi buluyor ve kritik ivmeyi sonsuz şev hesabından yaklaşık %24 daha yüksek veriyor.</w:t>
      </w:r>
    </w:p>
    <w:p>
      <w:pPr>
        <w:keepNext/>
        <w:jc w:val="center"/>
      </w:pPr>
      <w:r>
        <w:drawing>
          <wp:inline xmlns:a="http://schemas.openxmlformats.org/drawingml/2006/main" xmlns:pic="http://schemas.openxmlformats.org/drawingml/2006/picture">
            <wp:extent cx="5580000" cy="2566800"/>
            <wp:docPr id="7" name="Picture 7"/>
            <wp:cNvGraphicFramePr>
              <a:graphicFrameLocks noChangeAspect="1"/>
            </wp:cNvGraphicFramePr>
            <a:graphic>
              <a:graphicData uri="http://schemas.openxmlformats.org/drawingml/2006/picture">
                <pic:pic>
                  <pic:nvPicPr>
                    <pic:cNvPr id="0" name="fem_1353_plastic_strain.png"/>
                    <pic:cNvPicPr/>
                  </pic:nvPicPr>
                  <pic:blipFill>
                    <a:blip r:embed="rId15"/>
                    <a:stretch>
                      <a:fillRect/>
                    </a:stretch>
                  </pic:blipFill>
                  <pic:spPr>
                    <a:xfrm>
                      <a:off x="0" y="0"/>
                      <a:ext cx="5580000" cy="2566800"/>
                    </a:xfrm>
                    <a:prstGeom prst="rect"/>
                  </pic:spPr>
                </pic:pic>
              </a:graphicData>
            </a:graphic>
          </wp:inline>
        </w:drawing>
      </w:r>
    </w:p>
    <w:p>
      <w:pPr>
        <w:spacing w:after="200"/>
        <w:jc w:val="center"/>
      </w:pPr>
      <w:r>
        <w:rPr>
          <w:b w:val="0"/>
          <w:i/>
          <w:color w:val="595959"/>
          <w:sz w:val="19"/>
        </w:rPr>
        <w:t>Şekil 7. ID 1353 — FEM’de birikmiş plastik kayma gerinmesi: topuktan geçen dairesel kayma yüzeyi.</w:t>
      </w:r>
    </w:p>
    <w:p>
      <w:pPr>
        <w:pStyle w:val="Heading2"/>
      </w:pPr>
      <w:r>
        <w:t>5.6 Gerçek İvme Kayıtlarıyla Kayma Simülasyonu</w:t>
      </w:r>
    </w:p>
    <w:p>
      <w:r>
        <w:rPr>
          <w:b w:val="0"/>
          <w:i w:val="0"/>
        </w:rPr>
        <w:t>6 Şubat depremlerinin AFAD ivme kayıtları ESM veritabanından indirildi (Pazarcık 69, Elbistan 67 istasyon; en büyük PGA 2,25 g). Her heyelan poligonu için en yakın istasyonun kaydı poligonun ShakeMap PGA’sına ölçeklendi ve Newmark kayan blok yöntemi kaydın kendisi üzerinde adım adım çözüldü (Jibson 1993). Böylece her poligonun deprem boyunca kaç cm kaydığı simüle edildi.</w:t>
      </w:r>
    </w:p>
    <w:p>
      <w:pPr>
        <w:pStyle w:val="ListBullet"/>
        <w:spacing w:after="60"/>
      </w:pPr>
      <w:r>
        <w:rPr>
          <w:b w:val="0"/>
          <w:i w:val="0"/>
        </w:rPr>
        <w:t xml:space="preserve">Poligonların </w:t>
      </w:r>
      <w:r>
        <w:rPr>
          <w:b/>
          <w:i w:val="0"/>
        </w:rPr>
        <w:t>%21’i</w:t>
      </w:r>
      <w:r>
        <w:rPr>
          <w:b w:val="0"/>
          <w:i w:val="0"/>
        </w:rPr>
        <w:t xml:space="preserve"> 10 cm eşiğini aşıyor; %94’inde belirleyici olan Pazarcık depremi (Kocaman ve ark. heyelanların çoğunun ilk depremle tetiklendiğini belirtir).</w:t>
      </w:r>
    </w:p>
    <w:p>
      <w:pPr>
        <w:pStyle w:val="ListBullet"/>
        <w:spacing w:after="60"/>
      </w:pPr>
      <w:r>
        <w:rPr>
          <w:b w:val="0"/>
          <w:i w:val="0"/>
        </w:rPr>
        <w:t>Kaydın kendisiyle hesap, regresyon formülüne göre heyelanları biraz daha iyi ayırıyor (AUC 0,697 vs 0,692; yanlış alarm %4.5 vs %5.9). Saf fizik tek başına yine zayıf; ana neden litoloji proxy’sinden gelen dayanım değerleri.</w:t>
      </w:r>
    </w:p>
    <w:p>
      <w:pPr>
        <w:pStyle w:val="ListBullet"/>
        <w:spacing w:after="60"/>
      </w:pPr>
      <w:r>
        <w:rPr>
          <w:b w:val="0"/>
          <w:i w:val="0"/>
        </w:rPr>
        <w:t>Uygulamada Harita sayfasındaki “Depremi oynat” düğmesiyle poligonların deprem süresince renk değiştirdiği animasyon izlenebilir.</w:t>
      </w:r>
    </w:p>
    <w:p>
      <w:pPr>
        <w:keepNext/>
        <w:jc w:val="center"/>
      </w:pPr>
      <w:r>
        <w:drawing>
          <wp:inline xmlns:a="http://schemas.openxmlformats.org/drawingml/2006/main" xmlns:pic="http://schemas.openxmlformats.org/drawingml/2006/picture">
            <wp:extent cx="5220000" cy="2900000"/>
            <wp:docPr id="8" name="Picture 8"/>
            <wp:cNvGraphicFramePr>
              <a:graphicFrameLocks noChangeAspect="1"/>
            </wp:cNvGraphicFramePr>
            <a:graphic>
              <a:graphicData uri="http://schemas.openxmlformats.org/drawingml/2006/picture">
                <pic:pic>
                  <pic:nvPicPr>
                    <pic:cNvPr id="0" name="newmark_th_pilots.png"/>
                    <pic:cNvPicPr/>
                  </pic:nvPicPr>
                  <pic:blipFill>
                    <a:blip r:embed="rId16"/>
                    <a:stretch>
                      <a:fillRect/>
                    </a:stretch>
                  </pic:blipFill>
                  <pic:spPr>
                    <a:xfrm>
                      <a:off x="0" y="0"/>
                      <a:ext cx="5220000" cy="2900000"/>
                    </a:xfrm>
                    <a:prstGeom prst="rect"/>
                  </pic:spPr>
                </pic:pic>
              </a:graphicData>
            </a:graphic>
          </wp:inline>
        </w:drawing>
      </w:r>
    </w:p>
    <w:p>
      <w:pPr>
        <w:spacing w:after="200"/>
        <w:jc w:val="center"/>
      </w:pPr>
      <w:r>
        <w:rPr>
          <w:b w:val="0"/>
          <w:i/>
          <w:color w:val="595959"/>
          <w:sz w:val="19"/>
        </w:rPr>
        <w:t>Şekil 8. Pilot yamaçlarda gerçek ivme kaydıyla hesaplanan kalıcı yer değiştirme.</w:t>
      </w:r>
    </w:p>
    <w:p>
      <w:pPr>
        <w:pStyle w:val="Heading2"/>
      </w:pPr>
      <w:r>
        <w:t>5.7 Envanterin ve Etiketlerin Doğrulanması</w:t>
      </w:r>
    </w:p>
    <w:p>
      <w:r>
        <w:rPr>
          <w:b w:val="0"/>
          <w:i w:val="0"/>
        </w:rPr>
        <w:t>Modelin öğrendiği heyelan envanterinin (Kocaman ve ark. 2025) güvenilirliği üç yoldan sınandı.</w:t>
      </w:r>
    </w:p>
    <w:p>
      <w:r>
        <w:rPr>
          <w:b/>
          <w:i w:val="0"/>
        </w:rPr>
        <w:t>Bağımsız yeniden hesaplama.</w:t>
      </w:r>
      <w:r>
        <w:rPr>
          <w:b w:val="0"/>
          <w:i w:val="0"/>
        </w:rPr>
        <w:t xml:space="preserve"> Makaledeki sayılar kendi verimizle yeniden üretildi: 2.596 poligon, en küçük 21,8 m², en büyük 8,9625 km², toplam alan 42,9 km² (makalede 68.309 piksel × 25 m ≈ 42,7 km²), ortalama eğim 23,4° (makalede 23,0°) ve arazi örtüsü sıralaması (çayır &gt; ağaç &gt; çıplak) birebir tutuyor. Ortalama yükseklik farkı (makalede 1.148 m) piksel ağırlıklandırmasından kaynaklanıyor: tek bir 8,96 km²’lik heyelan toplam alanın %21’i; heyelan başına ortalama 864 m, alan ağırlıklı 1.106 m.</w:t>
      </w:r>
    </w:p>
    <w:p>
      <w:r>
        <w:rPr>
          <w:b/>
          <w:i w:val="0"/>
        </w:rPr>
        <w:t>Frekans Oranı (FR).</w:t>
      </w:r>
      <w:r>
        <w:rPr>
          <w:b w:val="0"/>
          <w:i w:val="0"/>
        </w:rPr>
        <w:t xml:space="preserve"> Kocaman ve ark. yöntemiyle hesaplandı. Litoloji FR’si yalnızca Macrostrat PROXY’siyle üretilebildiği için makaledeki MTA tabanlı değerlerle (ör. peridotit 6,70) doğrudan karşılaştırılamaz; asıl tablo MTA haritası gelince üretilecek.</w:t>
      </w:r>
    </w:p>
    <w:tbl>
      <w:tblPr>
        <w:tblStyle w:val="TableGrid"/>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3167"/>
        <w:gridCol w:w="3167"/>
        <w:gridCol w:w="3167"/>
      </w:tblGrid>
      <w:tr>
        <w:tc>
          <w:tcPr>
            <w:tcW w:type="dxa" w:w="3969"/>
            <w:shd w:val="clear" w:color="auto" w:fill="1F3864"/>
            <w:vAlign w:val="center"/>
          </w:tcPr>
          <w:p>
            <w:pPr>
              <w:spacing w:after="20" w:before="20"/>
            </w:pPr>
            <w:r/>
            <w:r>
              <w:rPr>
                <w:b/>
                <w:color w:val="FFFFFF"/>
                <w:sz w:val="17"/>
              </w:rPr>
              <w:t>Faktör</w:t>
            </w:r>
          </w:p>
        </w:tc>
        <w:tc>
          <w:tcPr>
            <w:tcW w:type="dxa" w:w="2835"/>
            <w:shd w:val="clear" w:color="auto" w:fill="1F3864"/>
            <w:vAlign w:val="center"/>
          </w:tcPr>
          <w:p>
            <w:pPr>
              <w:spacing w:after="20" w:before="20"/>
            </w:pPr>
            <w:r/>
            <w:r>
              <w:rPr>
                <w:b/>
                <w:color w:val="FFFFFF"/>
                <w:sz w:val="17"/>
              </w:rPr>
              <w:t>Sınıf</w:t>
            </w:r>
          </w:p>
        </w:tc>
        <w:tc>
          <w:tcPr>
            <w:tcW w:type="dxa" w:w="1417"/>
            <w:shd w:val="clear" w:color="auto" w:fill="1F3864"/>
            <w:vAlign w:val="center"/>
          </w:tcPr>
          <w:p>
            <w:pPr>
              <w:spacing w:after="20" w:before="20"/>
              <w:jc w:val="right"/>
            </w:pPr>
            <w:r/>
            <w:r>
              <w:rPr>
                <w:b/>
                <w:color w:val="FFFFFF"/>
                <w:sz w:val="17"/>
              </w:rPr>
              <w:t>FR</w:t>
            </w:r>
          </w:p>
        </w:tc>
      </w:tr>
      <w:tr>
        <w:tc>
          <w:tcPr>
            <w:tcW w:type="dxa" w:w="3969"/>
            <w:vAlign w:val="center"/>
          </w:tcPr>
          <w:p>
            <w:pPr>
              <w:spacing w:after="20" w:before="20"/>
            </w:pPr>
            <w:r>
              <w:rPr>
                <w:b w:val="0"/>
                <w:i w:val="0"/>
                <w:sz w:val="17"/>
              </w:rPr>
              <w:t>eğim (°)</w:t>
            </w:r>
          </w:p>
        </w:tc>
        <w:tc>
          <w:tcPr>
            <w:tcW w:type="dxa" w:w="2835"/>
            <w:vAlign w:val="center"/>
          </w:tcPr>
          <w:p>
            <w:pPr>
              <w:spacing w:after="20" w:before="20"/>
            </w:pPr>
            <w:r>
              <w:rPr>
                <w:b w:val="0"/>
                <w:i w:val="0"/>
                <w:sz w:val="17"/>
              </w:rPr>
              <w:t>0–5</w:t>
            </w:r>
          </w:p>
        </w:tc>
        <w:tc>
          <w:tcPr>
            <w:tcW w:type="dxa" w:w="1417"/>
            <w:vAlign w:val="center"/>
          </w:tcPr>
          <w:p>
            <w:pPr>
              <w:spacing w:after="20" w:before="20"/>
              <w:jc w:val="right"/>
            </w:pPr>
            <w:r>
              <w:rPr>
                <w:b w:val="0"/>
                <w:i w:val="0"/>
                <w:sz w:val="17"/>
              </w:rPr>
              <w:t>0,06</w:t>
            </w:r>
          </w:p>
        </w:tc>
      </w:tr>
      <w:tr>
        <w:tc>
          <w:tcPr>
            <w:tcW w:type="dxa" w:w="3969"/>
            <w:shd w:val="clear" w:color="auto" w:fill="EEF2F8"/>
            <w:vAlign w:val="center"/>
          </w:tcPr>
          <w:p>
            <w:pPr>
              <w:spacing w:after="20" w:before="20"/>
            </w:pPr>
            <w:r>
              <w:rPr>
                <w:b w:val="0"/>
                <w:i w:val="0"/>
                <w:sz w:val="17"/>
              </w:rPr>
              <w:t>eğim (°)</w:t>
            </w:r>
          </w:p>
        </w:tc>
        <w:tc>
          <w:tcPr>
            <w:tcW w:type="dxa" w:w="2835"/>
            <w:shd w:val="clear" w:color="auto" w:fill="EEF2F8"/>
            <w:vAlign w:val="center"/>
          </w:tcPr>
          <w:p>
            <w:pPr>
              <w:spacing w:after="20" w:before="20"/>
            </w:pPr>
            <w:r>
              <w:rPr>
                <w:b w:val="0"/>
                <w:i w:val="0"/>
                <w:sz w:val="17"/>
              </w:rPr>
              <w:t>5–10</w:t>
            </w:r>
          </w:p>
        </w:tc>
        <w:tc>
          <w:tcPr>
            <w:tcW w:type="dxa" w:w="1417"/>
            <w:shd w:val="clear" w:color="auto" w:fill="EEF2F8"/>
            <w:vAlign w:val="center"/>
          </w:tcPr>
          <w:p>
            <w:pPr>
              <w:spacing w:after="20" w:before="20"/>
              <w:jc w:val="right"/>
            </w:pPr>
            <w:r>
              <w:rPr>
                <w:b w:val="0"/>
                <w:i w:val="0"/>
                <w:sz w:val="17"/>
              </w:rPr>
              <w:t>0,51</w:t>
            </w:r>
          </w:p>
        </w:tc>
      </w:tr>
      <w:tr>
        <w:tc>
          <w:tcPr>
            <w:tcW w:type="dxa" w:w="3969"/>
            <w:vAlign w:val="center"/>
          </w:tcPr>
          <w:p>
            <w:pPr>
              <w:spacing w:after="20" w:before="20"/>
            </w:pPr>
            <w:r>
              <w:rPr>
                <w:b w:val="0"/>
                <w:i w:val="0"/>
                <w:sz w:val="17"/>
              </w:rPr>
              <w:t>eğim (°)</w:t>
            </w:r>
          </w:p>
        </w:tc>
        <w:tc>
          <w:tcPr>
            <w:tcW w:type="dxa" w:w="2835"/>
            <w:vAlign w:val="center"/>
          </w:tcPr>
          <w:p>
            <w:pPr>
              <w:spacing w:after="20" w:before="20"/>
            </w:pPr>
            <w:r>
              <w:rPr>
                <w:b w:val="0"/>
                <w:i w:val="0"/>
                <w:sz w:val="17"/>
              </w:rPr>
              <w:t>10–15</w:t>
            </w:r>
          </w:p>
        </w:tc>
        <w:tc>
          <w:tcPr>
            <w:tcW w:type="dxa" w:w="1417"/>
            <w:vAlign w:val="center"/>
          </w:tcPr>
          <w:p>
            <w:pPr>
              <w:spacing w:after="20" w:before="20"/>
              <w:jc w:val="right"/>
            </w:pPr>
            <w:r>
              <w:rPr>
                <w:b w:val="0"/>
                <w:i w:val="0"/>
                <w:sz w:val="17"/>
              </w:rPr>
              <w:t>1,37</w:t>
            </w:r>
          </w:p>
        </w:tc>
      </w:tr>
      <w:tr>
        <w:tc>
          <w:tcPr>
            <w:tcW w:type="dxa" w:w="3969"/>
            <w:shd w:val="clear" w:color="auto" w:fill="EEF2F8"/>
            <w:vAlign w:val="center"/>
          </w:tcPr>
          <w:p>
            <w:pPr>
              <w:spacing w:after="20" w:before="20"/>
            </w:pPr>
            <w:r>
              <w:rPr>
                <w:b w:val="0"/>
                <w:i w:val="0"/>
                <w:sz w:val="17"/>
              </w:rPr>
              <w:t>eğim (°)</w:t>
            </w:r>
          </w:p>
        </w:tc>
        <w:tc>
          <w:tcPr>
            <w:tcW w:type="dxa" w:w="2835"/>
            <w:shd w:val="clear" w:color="auto" w:fill="EEF2F8"/>
            <w:vAlign w:val="center"/>
          </w:tcPr>
          <w:p>
            <w:pPr>
              <w:spacing w:after="20" w:before="20"/>
            </w:pPr>
            <w:r>
              <w:rPr>
                <w:b w:val="0"/>
                <w:i w:val="0"/>
                <w:sz w:val="17"/>
              </w:rPr>
              <w:t>15–20</w:t>
            </w:r>
          </w:p>
        </w:tc>
        <w:tc>
          <w:tcPr>
            <w:tcW w:type="dxa" w:w="1417"/>
            <w:shd w:val="clear" w:color="auto" w:fill="EEF2F8"/>
            <w:vAlign w:val="center"/>
          </w:tcPr>
          <w:p>
            <w:pPr>
              <w:spacing w:after="20" w:before="20"/>
              <w:jc w:val="right"/>
            </w:pPr>
            <w:r>
              <w:rPr>
                <w:b w:val="0"/>
                <w:i w:val="0"/>
                <w:sz w:val="17"/>
              </w:rPr>
              <w:t>2,16</w:t>
            </w:r>
          </w:p>
        </w:tc>
      </w:tr>
      <w:tr>
        <w:tc>
          <w:tcPr>
            <w:tcW w:type="dxa" w:w="3969"/>
            <w:vAlign w:val="center"/>
          </w:tcPr>
          <w:p>
            <w:pPr>
              <w:spacing w:after="20" w:before="20"/>
            </w:pPr>
            <w:r>
              <w:rPr>
                <w:b w:val="0"/>
                <w:i w:val="0"/>
                <w:sz w:val="17"/>
              </w:rPr>
              <w:t>eğim (°)</w:t>
            </w:r>
          </w:p>
        </w:tc>
        <w:tc>
          <w:tcPr>
            <w:tcW w:type="dxa" w:w="2835"/>
            <w:vAlign w:val="center"/>
          </w:tcPr>
          <w:p>
            <w:pPr>
              <w:spacing w:after="20" w:before="20"/>
            </w:pPr>
            <w:r>
              <w:rPr>
                <w:b w:val="0"/>
                <w:i w:val="0"/>
                <w:sz w:val="17"/>
              </w:rPr>
              <w:t>20–25</w:t>
            </w:r>
          </w:p>
        </w:tc>
        <w:tc>
          <w:tcPr>
            <w:tcW w:type="dxa" w:w="1417"/>
            <w:vAlign w:val="center"/>
          </w:tcPr>
          <w:p>
            <w:pPr>
              <w:spacing w:after="20" w:before="20"/>
              <w:jc w:val="right"/>
            </w:pPr>
            <w:r>
              <w:rPr>
                <w:b w:val="0"/>
                <w:i w:val="0"/>
                <w:sz w:val="17"/>
              </w:rPr>
              <w:t>2,97</w:t>
            </w:r>
          </w:p>
        </w:tc>
      </w:tr>
      <w:tr>
        <w:tc>
          <w:tcPr>
            <w:tcW w:type="dxa" w:w="3969"/>
            <w:shd w:val="clear" w:color="auto" w:fill="EEF2F8"/>
            <w:vAlign w:val="center"/>
          </w:tcPr>
          <w:p>
            <w:pPr>
              <w:spacing w:after="20" w:before="20"/>
            </w:pPr>
            <w:r>
              <w:rPr>
                <w:b w:val="0"/>
                <w:i w:val="0"/>
                <w:sz w:val="17"/>
              </w:rPr>
              <w:t>eğim (°)</w:t>
            </w:r>
          </w:p>
        </w:tc>
        <w:tc>
          <w:tcPr>
            <w:tcW w:type="dxa" w:w="2835"/>
            <w:shd w:val="clear" w:color="auto" w:fill="EEF2F8"/>
            <w:vAlign w:val="center"/>
          </w:tcPr>
          <w:p>
            <w:pPr>
              <w:spacing w:after="20" w:before="20"/>
            </w:pPr>
            <w:r>
              <w:rPr>
                <w:b w:val="0"/>
                <w:i w:val="0"/>
                <w:sz w:val="17"/>
              </w:rPr>
              <w:t>25–30</w:t>
            </w:r>
          </w:p>
        </w:tc>
        <w:tc>
          <w:tcPr>
            <w:tcW w:type="dxa" w:w="1417"/>
            <w:shd w:val="clear" w:color="auto" w:fill="EEF2F8"/>
            <w:vAlign w:val="center"/>
          </w:tcPr>
          <w:p>
            <w:pPr>
              <w:spacing w:after="20" w:before="20"/>
              <w:jc w:val="right"/>
            </w:pPr>
            <w:r>
              <w:rPr>
                <w:b w:val="0"/>
                <w:i w:val="0"/>
                <w:sz w:val="17"/>
              </w:rPr>
              <w:t>4,42</w:t>
            </w:r>
          </w:p>
        </w:tc>
      </w:tr>
      <w:tr>
        <w:tc>
          <w:tcPr>
            <w:tcW w:type="dxa" w:w="3969"/>
            <w:vAlign w:val="center"/>
          </w:tcPr>
          <w:p>
            <w:pPr>
              <w:spacing w:after="20" w:before="20"/>
            </w:pPr>
            <w:r>
              <w:rPr>
                <w:b w:val="0"/>
                <w:i w:val="0"/>
                <w:sz w:val="17"/>
              </w:rPr>
              <w:t>eğim (°)</w:t>
            </w:r>
          </w:p>
        </w:tc>
        <w:tc>
          <w:tcPr>
            <w:tcW w:type="dxa" w:w="2835"/>
            <w:vAlign w:val="center"/>
          </w:tcPr>
          <w:p>
            <w:pPr>
              <w:spacing w:after="20" w:before="20"/>
            </w:pPr>
            <w:r>
              <w:rPr>
                <w:b w:val="0"/>
                <w:i w:val="0"/>
                <w:sz w:val="17"/>
              </w:rPr>
              <w:t>30–35</w:t>
            </w:r>
          </w:p>
        </w:tc>
        <w:tc>
          <w:tcPr>
            <w:tcW w:type="dxa" w:w="1417"/>
            <w:vAlign w:val="center"/>
          </w:tcPr>
          <w:p>
            <w:pPr>
              <w:spacing w:after="20" w:before="20"/>
              <w:jc w:val="right"/>
            </w:pPr>
            <w:r>
              <w:rPr>
                <w:b w:val="0"/>
                <w:i w:val="0"/>
                <w:sz w:val="17"/>
              </w:rPr>
              <w:t>9,07</w:t>
            </w:r>
          </w:p>
        </w:tc>
      </w:tr>
      <w:tr>
        <w:tc>
          <w:tcPr>
            <w:tcW w:type="dxa" w:w="3969"/>
            <w:shd w:val="clear" w:color="auto" w:fill="EEF2F8"/>
            <w:vAlign w:val="center"/>
          </w:tcPr>
          <w:p>
            <w:pPr>
              <w:spacing w:after="20" w:before="20"/>
            </w:pPr>
            <w:r>
              <w:rPr>
                <w:b w:val="0"/>
                <w:i w:val="0"/>
                <w:sz w:val="17"/>
              </w:rPr>
              <w:t>eğim (°)</w:t>
            </w:r>
          </w:p>
        </w:tc>
        <w:tc>
          <w:tcPr>
            <w:tcW w:type="dxa" w:w="2835"/>
            <w:shd w:val="clear" w:color="auto" w:fill="EEF2F8"/>
            <w:vAlign w:val="center"/>
          </w:tcPr>
          <w:p>
            <w:pPr>
              <w:spacing w:after="20" w:before="20"/>
            </w:pPr>
            <w:r>
              <w:rPr>
                <w:b w:val="0"/>
                <w:i w:val="0"/>
                <w:sz w:val="17"/>
              </w:rPr>
              <w:t>35–40</w:t>
            </w:r>
          </w:p>
        </w:tc>
        <w:tc>
          <w:tcPr>
            <w:tcW w:type="dxa" w:w="1417"/>
            <w:shd w:val="clear" w:color="auto" w:fill="EEF2F8"/>
            <w:vAlign w:val="center"/>
          </w:tcPr>
          <w:p>
            <w:pPr>
              <w:spacing w:after="20" w:before="20"/>
              <w:jc w:val="right"/>
            </w:pPr>
            <w:r>
              <w:rPr>
                <w:b w:val="0"/>
                <w:i w:val="0"/>
                <w:sz w:val="17"/>
              </w:rPr>
              <w:t>20,20</w:t>
            </w:r>
          </w:p>
        </w:tc>
      </w:tr>
      <w:tr>
        <w:tc>
          <w:tcPr>
            <w:tcW w:type="dxa" w:w="3969"/>
            <w:vAlign w:val="center"/>
          </w:tcPr>
          <w:p>
            <w:pPr>
              <w:spacing w:after="20" w:before="20"/>
            </w:pPr>
            <w:r>
              <w:rPr>
                <w:b w:val="0"/>
                <w:i w:val="0"/>
                <w:sz w:val="17"/>
              </w:rPr>
              <w:t>eğim (°)</w:t>
            </w:r>
          </w:p>
        </w:tc>
        <w:tc>
          <w:tcPr>
            <w:tcW w:type="dxa" w:w="2835"/>
            <w:vAlign w:val="center"/>
          </w:tcPr>
          <w:p>
            <w:pPr>
              <w:spacing w:after="20" w:before="20"/>
            </w:pPr>
            <w:r>
              <w:rPr>
                <w:b w:val="0"/>
                <w:i w:val="0"/>
                <w:sz w:val="17"/>
              </w:rPr>
              <w:t>40–90</w:t>
            </w:r>
          </w:p>
        </w:tc>
        <w:tc>
          <w:tcPr>
            <w:tcW w:type="dxa" w:w="1417"/>
            <w:vAlign w:val="center"/>
          </w:tcPr>
          <w:p>
            <w:pPr>
              <w:spacing w:after="20" w:before="20"/>
              <w:jc w:val="right"/>
            </w:pPr>
            <w:r>
              <w:rPr>
                <w:b w:val="0"/>
                <w:i w:val="0"/>
                <w:sz w:val="17"/>
              </w:rPr>
              <w:t>35,90</w:t>
            </w:r>
          </w:p>
        </w:tc>
      </w:tr>
      <w:tr>
        <w:tc>
          <w:tcPr>
            <w:tcW w:type="dxa" w:w="3969"/>
            <w:shd w:val="clear" w:color="auto" w:fill="EEF2F8"/>
            <w:vAlign w:val="center"/>
          </w:tcPr>
          <w:p>
            <w:pPr>
              <w:spacing w:after="20" w:before="20"/>
            </w:pPr>
            <w:r>
              <w:rPr>
                <w:b w:val="0"/>
                <w:i w:val="0"/>
                <w:sz w:val="17"/>
              </w:rPr>
              <w:t>faya uzaklık (km, GEM)</w:t>
            </w:r>
          </w:p>
        </w:tc>
        <w:tc>
          <w:tcPr>
            <w:tcW w:type="dxa" w:w="2835"/>
            <w:shd w:val="clear" w:color="auto" w:fill="EEF2F8"/>
            <w:vAlign w:val="center"/>
          </w:tcPr>
          <w:p>
            <w:pPr>
              <w:spacing w:after="20" w:before="20"/>
            </w:pPr>
            <w:r>
              <w:rPr>
                <w:b w:val="0"/>
                <w:i w:val="0"/>
                <w:sz w:val="17"/>
              </w:rPr>
              <w:t>0–2</w:t>
            </w:r>
          </w:p>
        </w:tc>
        <w:tc>
          <w:tcPr>
            <w:tcW w:type="dxa" w:w="1417"/>
            <w:shd w:val="clear" w:color="auto" w:fill="EEF2F8"/>
            <w:vAlign w:val="center"/>
          </w:tcPr>
          <w:p>
            <w:pPr>
              <w:spacing w:after="20" w:before="20"/>
              <w:jc w:val="right"/>
            </w:pPr>
            <w:r>
              <w:rPr>
                <w:b w:val="0"/>
                <w:i w:val="0"/>
                <w:sz w:val="17"/>
              </w:rPr>
              <w:t>3,49</w:t>
            </w:r>
          </w:p>
        </w:tc>
      </w:tr>
      <w:tr>
        <w:tc>
          <w:tcPr>
            <w:tcW w:type="dxa" w:w="3969"/>
            <w:vAlign w:val="center"/>
          </w:tcPr>
          <w:p>
            <w:pPr>
              <w:spacing w:after="20" w:before="20"/>
            </w:pPr>
            <w:r>
              <w:rPr>
                <w:b w:val="0"/>
                <w:i w:val="0"/>
                <w:sz w:val="17"/>
              </w:rPr>
              <w:t>faya uzaklık (km, GEM)</w:t>
            </w:r>
          </w:p>
        </w:tc>
        <w:tc>
          <w:tcPr>
            <w:tcW w:type="dxa" w:w="2835"/>
            <w:vAlign w:val="center"/>
          </w:tcPr>
          <w:p>
            <w:pPr>
              <w:spacing w:after="20" w:before="20"/>
            </w:pPr>
            <w:r>
              <w:rPr>
                <w:b w:val="0"/>
                <w:i w:val="0"/>
                <w:sz w:val="17"/>
              </w:rPr>
              <w:t>2–5</w:t>
            </w:r>
          </w:p>
        </w:tc>
        <w:tc>
          <w:tcPr>
            <w:tcW w:type="dxa" w:w="1417"/>
            <w:vAlign w:val="center"/>
          </w:tcPr>
          <w:p>
            <w:pPr>
              <w:spacing w:after="20" w:before="20"/>
              <w:jc w:val="right"/>
            </w:pPr>
            <w:r>
              <w:rPr>
                <w:b w:val="0"/>
                <w:i w:val="0"/>
                <w:sz w:val="17"/>
              </w:rPr>
              <w:t>2,31</w:t>
            </w:r>
          </w:p>
        </w:tc>
      </w:tr>
      <w:tr>
        <w:tc>
          <w:tcPr>
            <w:tcW w:type="dxa" w:w="3969"/>
            <w:shd w:val="clear" w:color="auto" w:fill="EEF2F8"/>
            <w:vAlign w:val="center"/>
          </w:tcPr>
          <w:p>
            <w:pPr>
              <w:spacing w:after="20" w:before="20"/>
            </w:pPr>
            <w:r>
              <w:rPr>
                <w:b w:val="0"/>
                <w:i w:val="0"/>
                <w:sz w:val="17"/>
              </w:rPr>
              <w:t>faya uzaklık (km, GEM)</w:t>
            </w:r>
          </w:p>
        </w:tc>
        <w:tc>
          <w:tcPr>
            <w:tcW w:type="dxa" w:w="2835"/>
            <w:shd w:val="clear" w:color="auto" w:fill="EEF2F8"/>
            <w:vAlign w:val="center"/>
          </w:tcPr>
          <w:p>
            <w:pPr>
              <w:spacing w:after="20" w:before="20"/>
            </w:pPr>
            <w:r>
              <w:rPr>
                <w:b w:val="0"/>
                <w:i w:val="0"/>
                <w:sz w:val="17"/>
              </w:rPr>
              <w:t>5–10</w:t>
            </w:r>
          </w:p>
        </w:tc>
        <w:tc>
          <w:tcPr>
            <w:tcW w:type="dxa" w:w="1417"/>
            <w:shd w:val="clear" w:color="auto" w:fill="EEF2F8"/>
            <w:vAlign w:val="center"/>
          </w:tcPr>
          <w:p>
            <w:pPr>
              <w:spacing w:after="20" w:before="20"/>
              <w:jc w:val="right"/>
            </w:pPr>
            <w:r>
              <w:rPr>
                <w:b w:val="0"/>
                <w:i w:val="0"/>
                <w:sz w:val="17"/>
              </w:rPr>
              <w:t>1,11</w:t>
            </w:r>
          </w:p>
        </w:tc>
      </w:tr>
      <w:tr>
        <w:tc>
          <w:tcPr>
            <w:tcW w:type="dxa" w:w="3969"/>
            <w:vAlign w:val="center"/>
          </w:tcPr>
          <w:p>
            <w:pPr>
              <w:spacing w:after="20" w:before="20"/>
            </w:pPr>
            <w:r>
              <w:rPr>
                <w:b w:val="0"/>
                <w:i w:val="0"/>
                <w:sz w:val="17"/>
              </w:rPr>
              <w:t>faya uzaklık (km, GEM)</w:t>
            </w:r>
          </w:p>
        </w:tc>
        <w:tc>
          <w:tcPr>
            <w:tcW w:type="dxa" w:w="2835"/>
            <w:vAlign w:val="center"/>
          </w:tcPr>
          <w:p>
            <w:pPr>
              <w:spacing w:after="20" w:before="20"/>
            </w:pPr>
            <w:r>
              <w:rPr>
                <w:b w:val="0"/>
                <w:i w:val="0"/>
                <w:sz w:val="17"/>
              </w:rPr>
              <w:t>10–20</w:t>
            </w:r>
          </w:p>
        </w:tc>
        <w:tc>
          <w:tcPr>
            <w:tcW w:type="dxa" w:w="1417"/>
            <w:vAlign w:val="center"/>
          </w:tcPr>
          <w:p>
            <w:pPr>
              <w:spacing w:after="20" w:before="20"/>
              <w:jc w:val="right"/>
            </w:pPr>
            <w:r>
              <w:rPr>
                <w:b w:val="0"/>
                <w:i w:val="0"/>
                <w:sz w:val="17"/>
              </w:rPr>
              <w:t>1,58</w:t>
            </w:r>
          </w:p>
        </w:tc>
      </w:tr>
      <w:tr>
        <w:tc>
          <w:tcPr>
            <w:tcW w:type="dxa" w:w="3969"/>
            <w:shd w:val="clear" w:color="auto" w:fill="EEF2F8"/>
            <w:vAlign w:val="center"/>
          </w:tcPr>
          <w:p>
            <w:pPr>
              <w:spacing w:after="20" w:before="20"/>
            </w:pPr>
            <w:r>
              <w:rPr>
                <w:b w:val="0"/>
                <w:i w:val="0"/>
                <w:sz w:val="17"/>
              </w:rPr>
              <w:t>faya uzaklık (km, GEM)</w:t>
            </w:r>
          </w:p>
        </w:tc>
        <w:tc>
          <w:tcPr>
            <w:tcW w:type="dxa" w:w="2835"/>
            <w:shd w:val="clear" w:color="auto" w:fill="EEF2F8"/>
            <w:vAlign w:val="center"/>
          </w:tcPr>
          <w:p>
            <w:pPr>
              <w:spacing w:after="20" w:before="20"/>
            </w:pPr>
            <w:r>
              <w:rPr>
                <w:b w:val="0"/>
                <w:i w:val="0"/>
                <w:sz w:val="17"/>
              </w:rPr>
              <w:t>20–40</w:t>
            </w:r>
          </w:p>
        </w:tc>
        <w:tc>
          <w:tcPr>
            <w:tcW w:type="dxa" w:w="1417"/>
            <w:shd w:val="clear" w:color="auto" w:fill="EEF2F8"/>
            <w:vAlign w:val="center"/>
          </w:tcPr>
          <w:p>
            <w:pPr>
              <w:spacing w:after="20" w:before="20"/>
              <w:jc w:val="right"/>
            </w:pPr>
            <w:r>
              <w:rPr>
                <w:b w:val="0"/>
                <w:i w:val="0"/>
                <w:sz w:val="17"/>
              </w:rPr>
              <w:t>0,63</w:t>
            </w:r>
          </w:p>
        </w:tc>
      </w:tr>
      <w:tr>
        <w:tc>
          <w:tcPr>
            <w:tcW w:type="dxa" w:w="3969"/>
            <w:vAlign w:val="center"/>
          </w:tcPr>
          <w:p>
            <w:pPr>
              <w:spacing w:after="20" w:before="20"/>
            </w:pPr>
            <w:r>
              <w:rPr>
                <w:b w:val="0"/>
                <w:i w:val="0"/>
                <w:sz w:val="17"/>
              </w:rPr>
              <w:t>faya uzaklık (km, GEM)</w:t>
            </w:r>
          </w:p>
        </w:tc>
        <w:tc>
          <w:tcPr>
            <w:tcW w:type="dxa" w:w="2835"/>
            <w:vAlign w:val="center"/>
          </w:tcPr>
          <w:p>
            <w:pPr>
              <w:spacing w:after="20" w:before="20"/>
            </w:pPr>
            <w:r>
              <w:rPr>
                <w:b w:val="0"/>
                <w:i w:val="0"/>
                <w:sz w:val="17"/>
              </w:rPr>
              <w:t>40–300</w:t>
            </w:r>
          </w:p>
        </w:tc>
        <w:tc>
          <w:tcPr>
            <w:tcW w:type="dxa" w:w="1417"/>
            <w:vAlign w:val="center"/>
          </w:tcPr>
          <w:p>
            <w:pPr>
              <w:spacing w:after="20" w:before="20"/>
              <w:jc w:val="right"/>
            </w:pPr>
            <w:r>
              <w:rPr>
                <w:b w:val="0"/>
                <w:i w:val="0"/>
                <w:sz w:val="17"/>
              </w:rPr>
              <w:t>0,02</w:t>
            </w:r>
          </w:p>
        </w:tc>
      </w:tr>
      <w:tr>
        <w:tc>
          <w:tcPr>
            <w:tcW w:type="dxa" w:w="3969"/>
            <w:shd w:val="clear" w:color="auto" w:fill="EEF2F8"/>
            <w:vAlign w:val="center"/>
          </w:tcPr>
          <w:p>
            <w:pPr>
              <w:spacing w:after="20" w:before="20"/>
            </w:pPr>
            <w:r>
              <w:rPr>
                <w:b w:val="0"/>
                <w:i w:val="0"/>
                <w:sz w:val="17"/>
              </w:rPr>
              <w:t>2023 kırılmasına uzaklık (km)</w:t>
            </w:r>
          </w:p>
        </w:tc>
        <w:tc>
          <w:tcPr>
            <w:tcW w:type="dxa" w:w="2835"/>
            <w:shd w:val="clear" w:color="auto" w:fill="EEF2F8"/>
            <w:vAlign w:val="center"/>
          </w:tcPr>
          <w:p>
            <w:pPr>
              <w:spacing w:after="20" w:before="20"/>
            </w:pPr>
            <w:r>
              <w:rPr>
                <w:b w:val="0"/>
                <w:i w:val="0"/>
                <w:sz w:val="17"/>
              </w:rPr>
              <w:t>0–2</w:t>
            </w:r>
          </w:p>
        </w:tc>
        <w:tc>
          <w:tcPr>
            <w:tcW w:type="dxa" w:w="1417"/>
            <w:shd w:val="clear" w:color="auto" w:fill="EEF2F8"/>
            <w:vAlign w:val="center"/>
          </w:tcPr>
          <w:p>
            <w:pPr>
              <w:spacing w:after="20" w:before="20"/>
              <w:jc w:val="right"/>
            </w:pPr>
            <w:r>
              <w:rPr>
                <w:b w:val="0"/>
                <w:i w:val="0"/>
                <w:sz w:val="17"/>
              </w:rPr>
              <w:t>6,32</w:t>
            </w:r>
          </w:p>
        </w:tc>
      </w:tr>
      <w:tr>
        <w:tc>
          <w:tcPr>
            <w:tcW w:type="dxa" w:w="3969"/>
            <w:vAlign w:val="center"/>
          </w:tcPr>
          <w:p>
            <w:pPr>
              <w:spacing w:after="20" w:before="20"/>
            </w:pPr>
            <w:r>
              <w:rPr>
                <w:b w:val="0"/>
                <w:i w:val="0"/>
                <w:sz w:val="17"/>
              </w:rPr>
              <w:t>2023 kırılmasına uzaklık (km)</w:t>
            </w:r>
          </w:p>
        </w:tc>
        <w:tc>
          <w:tcPr>
            <w:tcW w:type="dxa" w:w="2835"/>
            <w:vAlign w:val="center"/>
          </w:tcPr>
          <w:p>
            <w:pPr>
              <w:spacing w:after="20" w:before="20"/>
            </w:pPr>
            <w:r>
              <w:rPr>
                <w:b w:val="0"/>
                <w:i w:val="0"/>
                <w:sz w:val="17"/>
              </w:rPr>
              <w:t>2–5</w:t>
            </w:r>
          </w:p>
        </w:tc>
        <w:tc>
          <w:tcPr>
            <w:tcW w:type="dxa" w:w="1417"/>
            <w:vAlign w:val="center"/>
          </w:tcPr>
          <w:p>
            <w:pPr>
              <w:spacing w:after="20" w:before="20"/>
              <w:jc w:val="right"/>
            </w:pPr>
            <w:r>
              <w:rPr>
                <w:b w:val="0"/>
                <w:i w:val="0"/>
                <w:sz w:val="17"/>
              </w:rPr>
              <w:t>5,12</w:t>
            </w:r>
          </w:p>
        </w:tc>
      </w:tr>
      <w:tr>
        <w:tc>
          <w:tcPr>
            <w:tcW w:type="dxa" w:w="3969"/>
            <w:shd w:val="clear" w:color="auto" w:fill="EEF2F8"/>
            <w:vAlign w:val="center"/>
          </w:tcPr>
          <w:p>
            <w:pPr>
              <w:spacing w:after="20" w:before="20"/>
            </w:pPr>
            <w:r>
              <w:rPr>
                <w:b w:val="0"/>
                <w:i w:val="0"/>
                <w:sz w:val="17"/>
              </w:rPr>
              <w:t>2023 kırılmasına uzaklık (km)</w:t>
            </w:r>
          </w:p>
        </w:tc>
        <w:tc>
          <w:tcPr>
            <w:tcW w:type="dxa" w:w="2835"/>
            <w:shd w:val="clear" w:color="auto" w:fill="EEF2F8"/>
            <w:vAlign w:val="center"/>
          </w:tcPr>
          <w:p>
            <w:pPr>
              <w:spacing w:after="20" w:before="20"/>
            </w:pPr>
            <w:r>
              <w:rPr>
                <w:b w:val="0"/>
                <w:i w:val="0"/>
                <w:sz w:val="17"/>
              </w:rPr>
              <w:t>5–10</w:t>
            </w:r>
          </w:p>
        </w:tc>
        <w:tc>
          <w:tcPr>
            <w:tcW w:type="dxa" w:w="1417"/>
            <w:shd w:val="clear" w:color="auto" w:fill="EEF2F8"/>
            <w:vAlign w:val="center"/>
          </w:tcPr>
          <w:p>
            <w:pPr>
              <w:spacing w:after="20" w:before="20"/>
              <w:jc w:val="right"/>
            </w:pPr>
            <w:r>
              <w:rPr>
                <w:b w:val="0"/>
                <w:i w:val="0"/>
                <w:sz w:val="17"/>
              </w:rPr>
              <w:t>3,46</w:t>
            </w:r>
          </w:p>
        </w:tc>
      </w:tr>
      <w:tr>
        <w:tc>
          <w:tcPr>
            <w:tcW w:type="dxa" w:w="3969"/>
            <w:vAlign w:val="center"/>
          </w:tcPr>
          <w:p>
            <w:pPr>
              <w:spacing w:after="20" w:before="20"/>
            </w:pPr>
            <w:r>
              <w:rPr>
                <w:b w:val="0"/>
                <w:i w:val="0"/>
                <w:sz w:val="17"/>
              </w:rPr>
              <w:t>2023 kırılmasına uzaklık (km)</w:t>
            </w:r>
          </w:p>
        </w:tc>
        <w:tc>
          <w:tcPr>
            <w:tcW w:type="dxa" w:w="2835"/>
            <w:vAlign w:val="center"/>
          </w:tcPr>
          <w:p>
            <w:pPr>
              <w:spacing w:after="20" w:before="20"/>
            </w:pPr>
            <w:r>
              <w:rPr>
                <w:b w:val="0"/>
                <w:i w:val="0"/>
                <w:sz w:val="17"/>
              </w:rPr>
              <w:t>10–20</w:t>
            </w:r>
          </w:p>
        </w:tc>
        <w:tc>
          <w:tcPr>
            <w:tcW w:type="dxa" w:w="1417"/>
            <w:vAlign w:val="center"/>
          </w:tcPr>
          <w:p>
            <w:pPr>
              <w:spacing w:after="20" w:before="20"/>
              <w:jc w:val="right"/>
            </w:pPr>
            <w:r>
              <w:rPr>
                <w:b w:val="0"/>
                <w:i w:val="0"/>
                <w:sz w:val="17"/>
              </w:rPr>
              <w:t>2,22</w:t>
            </w:r>
          </w:p>
        </w:tc>
      </w:tr>
      <w:tr>
        <w:tc>
          <w:tcPr>
            <w:tcW w:type="dxa" w:w="3969"/>
            <w:shd w:val="clear" w:color="auto" w:fill="EEF2F8"/>
            <w:vAlign w:val="center"/>
          </w:tcPr>
          <w:p>
            <w:pPr>
              <w:spacing w:after="20" w:before="20"/>
            </w:pPr>
            <w:r>
              <w:rPr>
                <w:b w:val="0"/>
                <w:i w:val="0"/>
                <w:sz w:val="17"/>
              </w:rPr>
              <w:t>2023 kırılmasına uzaklık (km)</w:t>
            </w:r>
          </w:p>
        </w:tc>
        <w:tc>
          <w:tcPr>
            <w:tcW w:type="dxa" w:w="2835"/>
            <w:shd w:val="clear" w:color="auto" w:fill="EEF2F8"/>
            <w:vAlign w:val="center"/>
          </w:tcPr>
          <w:p>
            <w:pPr>
              <w:spacing w:after="20" w:before="20"/>
            </w:pPr>
            <w:r>
              <w:rPr>
                <w:b w:val="0"/>
                <w:i w:val="0"/>
                <w:sz w:val="17"/>
              </w:rPr>
              <w:t>20–40</w:t>
            </w:r>
          </w:p>
        </w:tc>
        <w:tc>
          <w:tcPr>
            <w:tcW w:type="dxa" w:w="1417"/>
            <w:shd w:val="clear" w:color="auto" w:fill="EEF2F8"/>
            <w:vAlign w:val="center"/>
          </w:tcPr>
          <w:p>
            <w:pPr>
              <w:spacing w:after="20" w:before="20"/>
              <w:jc w:val="right"/>
            </w:pPr>
            <w:r>
              <w:rPr>
                <w:b w:val="0"/>
                <w:i w:val="0"/>
                <w:sz w:val="17"/>
              </w:rPr>
              <w:t>1,27</w:t>
            </w:r>
          </w:p>
        </w:tc>
      </w:tr>
      <w:tr>
        <w:tc>
          <w:tcPr>
            <w:tcW w:type="dxa" w:w="3969"/>
            <w:vAlign w:val="center"/>
          </w:tcPr>
          <w:p>
            <w:pPr>
              <w:spacing w:after="20" w:before="20"/>
            </w:pPr>
            <w:r>
              <w:rPr>
                <w:b w:val="0"/>
                <w:i w:val="0"/>
                <w:sz w:val="17"/>
              </w:rPr>
              <w:t>2023 kırılmasına uzaklık (km)</w:t>
            </w:r>
          </w:p>
        </w:tc>
        <w:tc>
          <w:tcPr>
            <w:tcW w:type="dxa" w:w="2835"/>
            <w:vAlign w:val="center"/>
          </w:tcPr>
          <w:p>
            <w:pPr>
              <w:spacing w:after="20" w:before="20"/>
            </w:pPr>
            <w:r>
              <w:rPr>
                <w:b w:val="0"/>
                <w:i w:val="0"/>
                <w:sz w:val="17"/>
              </w:rPr>
              <w:t>40–300</w:t>
            </w:r>
          </w:p>
        </w:tc>
        <w:tc>
          <w:tcPr>
            <w:tcW w:type="dxa" w:w="1417"/>
            <w:vAlign w:val="center"/>
          </w:tcPr>
          <w:p>
            <w:pPr>
              <w:spacing w:after="20" w:before="20"/>
              <w:jc w:val="right"/>
            </w:pPr>
            <w:r>
              <w:rPr>
                <w:b w:val="0"/>
                <w:i w:val="0"/>
                <w:sz w:val="17"/>
              </w:rPr>
              <w:t>0,17</w:t>
            </w:r>
          </w:p>
        </w:tc>
      </w:tr>
      <w:tr>
        <w:tc>
          <w:tcPr>
            <w:tcW w:type="dxa" w:w="3969"/>
            <w:shd w:val="clear" w:color="auto" w:fill="EEF2F8"/>
            <w:vAlign w:val="center"/>
          </w:tcPr>
          <w:p>
            <w:pPr>
              <w:spacing w:after="20" w:before="20"/>
            </w:pPr>
            <w:r>
              <w:rPr>
                <w:b w:val="0"/>
                <w:i w:val="0"/>
                <w:sz w:val="17"/>
              </w:rPr>
              <w:t>arazi örtüsü (ESA WorldCover)</w:t>
            </w:r>
          </w:p>
        </w:tc>
        <w:tc>
          <w:tcPr>
            <w:tcW w:type="dxa" w:w="2835"/>
            <w:shd w:val="clear" w:color="auto" w:fill="EEF2F8"/>
            <w:vAlign w:val="center"/>
          </w:tcPr>
          <w:p>
            <w:pPr>
              <w:spacing w:after="20" w:before="20"/>
            </w:pPr>
            <w:r>
              <w:rPr>
                <w:b w:val="0"/>
                <w:i w:val="0"/>
                <w:sz w:val="17"/>
              </w:rPr>
              <w:t>Ağaç</w:t>
            </w:r>
          </w:p>
        </w:tc>
        <w:tc>
          <w:tcPr>
            <w:tcW w:type="dxa" w:w="1417"/>
            <w:shd w:val="clear" w:color="auto" w:fill="EEF2F8"/>
            <w:vAlign w:val="center"/>
          </w:tcPr>
          <w:p>
            <w:pPr>
              <w:spacing w:after="20" w:before="20"/>
              <w:jc w:val="right"/>
            </w:pPr>
            <w:r>
              <w:rPr>
                <w:b w:val="0"/>
                <w:i w:val="0"/>
                <w:sz w:val="17"/>
              </w:rPr>
              <w:t>2,38</w:t>
            </w:r>
          </w:p>
        </w:tc>
      </w:tr>
      <w:tr>
        <w:tc>
          <w:tcPr>
            <w:tcW w:type="dxa" w:w="3969"/>
            <w:vAlign w:val="center"/>
          </w:tcPr>
          <w:p>
            <w:pPr>
              <w:spacing w:after="20" w:before="20"/>
            </w:pPr>
            <w:r>
              <w:rPr>
                <w:b w:val="0"/>
                <w:i w:val="0"/>
                <w:sz w:val="17"/>
              </w:rPr>
              <w:t>arazi örtüsü (ESA WorldCover)</w:t>
            </w:r>
          </w:p>
        </w:tc>
        <w:tc>
          <w:tcPr>
            <w:tcW w:type="dxa" w:w="2835"/>
            <w:vAlign w:val="center"/>
          </w:tcPr>
          <w:p>
            <w:pPr>
              <w:spacing w:after="20" w:before="20"/>
            </w:pPr>
            <w:r>
              <w:rPr>
                <w:b w:val="0"/>
                <w:i w:val="0"/>
                <w:sz w:val="17"/>
              </w:rPr>
              <w:t>Çalılık</w:t>
            </w:r>
          </w:p>
        </w:tc>
        <w:tc>
          <w:tcPr>
            <w:tcW w:type="dxa" w:w="1417"/>
            <w:vAlign w:val="center"/>
          </w:tcPr>
          <w:p>
            <w:pPr>
              <w:spacing w:after="20" w:before="20"/>
              <w:jc w:val="right"/>
            </w:pPr>
            <w:r>
              <w:rPr>
                <w:b w:val="0"/>
                <w:i w:val="0"/>
                <w:sz w:val="17"/>
              </w:rPr>
              <w:t>3,83</w:t>
            </w:r>
          </w:p>
        </w:tc>
      </w:tr>
      <w:tr>
        <w:tc>
          <w:tcPr>
            <w:tcW w:type="dxa" w:w="3969"/>
            <w:shd w:val="clear" w:color="auto" w:fill="EEF2F8"/>
            <w:vAlign w:val="center"/>
          </w:tcPr>
          <w:p>
            <w:pPr>
              <w:spacing w:after="20" w:before="20"/>
            </w:pPr>
            <w:r>
              <w:rPr>
                <w:b w:val="0"/>
                <w:i w:val="0"/>
                <w:sz w:val="17"/>
              </w:rPr>
              <w:t>arazi örtüsü (ESA WorldCover)</w:t>
            </w:r>
          </w:p>
        </w:tc>
        <w:tc>
          <w:tcPr>
            <w:tcW w:type="dxa" w:w="2835"/>
            <w:shd w:val="clear" w:color="auto" w:fill="EEF2F8"/>
            <w:vAlign w:val="center"/>
          </w:tcPr>
          <w:p>
            <w:pPr>
              <w:spacing w:after="20" w:before="20"/>
            </w:pPr>
            <w:r>
              <w:rPr>
                <w:b w:val="0"/>
                <w:i w:val="0"/>
                <w:sz w:val="17"/>
              </w:rPr>
              <w:t>Çayır</w:t>
            </w:r>
          </w:p>
        </w:tc>
        <w:tc>
          <w:tcPr>
            <w:tcW w:type="dxa" w:w="1417"/>
            <w:shd w:val="clear" w:color="auto" w:fill="EEF2F8"/>
            <w:vAlign w:val="center"/>
          </w:tcPr>
          <w:p>
            <w:pPr>
              <w:spacing w:after="20" w:before="20"/>
              <w:jc w:val="right"/>
            </w:pPr>
            <w:r>
              <w:rPr>
                <w:b w:val="0"/>
                <w:i w:val="0"/>
                <w:sz w:val="17"/>
              </w:rPr>
              <w:t>1,38</w:t>
            </w:r>
          </w:p>
        </w:tc>
      </w:tr>
      <w:tr>
        <w:tc>
          <w:tcPr>
            <w:tcW w:type="dxa" w:w="3969"/>
            <w:vAlign w:val="center"/>
          </w:tcPr>
          <w:p>
            <w:pPr>
              <w:spacing w:after="20" w:before="20"/>
            </w:pPr>
            <w:r>
              <w:rPr>
                <w:b w:val="0"/>
                <w:i w:val="0"/>
                <w:sz w:val="17"/>
              </w:rPr>
              <w:t>arazi örtüsü (ESA WorldCover)</w:t>
            </w:r>
          </w:p>
        </w:tc>
        <w:tc>
          <w:tcPr>
            <w:tcW w:type="dxa" w:w="2835"/>
            <w:vAlign w:val="center"/>
          </w:tcPr>
          <w:p>
            <w:pPr>
              <w:spacing w:after="20" w:before="20"/>
            </w:pPr>
            <w:r>
              <w:rPr>
                <w:b w:val="0"/>
                <w:i w:val="0"/>
                <w:sz w:val="17"/>
              </w:rPr>
              <w:t>Tarım</w:t>
            </w:r>
          </w:p>
        </w:tc>
        <w:tc>
          <w:tcPr>
            <w:tcW w:type="dxa" w:w="1417"/>
            <w:vAlign w:val="center"/>
          </w:tcPr>
          <w:p>
            <w:pPr>
              <w:spacing w:after="20" w:before="20"/>
              <w:jc w:val="right"/>
            </w:pPr>
            <w:r>
              <w:rPr>
                <w:b w:val="0"/>
                <w:i w:val="0"/>
                <w:sz w:val="17"/>
              </w:rPr>
              <w:t>0,03</w:t>
            </w:r>
          </w:p>
        </w:tc>
      </w:tr>
      <w:tr>
        <w:tc>
          <w:tcPr>
            <w:tcW w:type="dxa" w:w="3969"/>
            <w:shd w:val="clear" w:color="auto" w:fill="EEF2F8"/>
            <w:vAlign w:val="center"/>
          </w:tcPr>
          <w:p>
            <w:pPr>
              <w:spacing w:after="20" w:before="20"/>
            </w:pPr>
            <w:r>
              <w:rPr>
                <w:b w:val="0"/>
                <w:i w:val="0"/>
                <w:sz w:val="17"/>
              </w:rPr>
              <w:t>arazi örtüsü (ESA WorldCover)</w:t>
            </w:r>
          </w:p>
        </w:tc>
        <w:tc>
          <w:tcPr>
            <w:tcW w:type="dxa" w:w="2835"/>
            <w:shd w:val="clear" w:color="auto" w:fill="EEF2F8"/>
            <w:vAlign w:val="center"/>
          </w:tcPr>
          <w:p>
            <w:pPr>
              <w:spacing w:after="20" w:before="20"/>
            </w:pPr>
            <w:r>
              <w:rPr>
                <w:b w:val="0"/>
                <w:i w:val="0"/>
                <w:sz w:val="17"/>
              </w:rPr>
              <w:t>Yapılaşma</w:t>
            </w:r>
          </w:p>
        </w:tc>
        <w:tc>
          <w:tcPr>
            <w:tcW w:type="dxa" w:w="1417"/>
            <w:shd w:val="clear" w:color="auto" w:fill="EEF2F8"/>
            <w:vAlign w:val="center"/>
          </w:tcPr>
          <w:p>
            <w:pPr>
              <w:spacing w:after="20" w:before="20"/>
              <w:jc w:val="right"/>
            </w:pPr>
            <w:r>
              <w:rPr>
                <w:b w:val="0"/>
                <w:i w:val="0"/>
                <w:sz w:val="17"/>
              </w:rPr>
              <w:t>0,13</w:t>
            </w:r>
          </w:p>
        </w:tc>
      </w:tr>
      <w:tr>
        <w:tc>
          <w:tcPr>
            <w:tcW w:type="dxa" w:w="3969"/>
            <w:vAlign w:val="center"/>
          </w:tcPr>
          <w:p>
            <w:pPr>
              <w:spacing w:after="20" w:before="20"/>
            </w:pPr>
            <w:r>
              <w:rPr>
                <w:b w:val="0"/>
                <w:i w:val="0"/>
                <w:sz w:val="17"/>
              </w:rPr>
              <w:t>arazi örtüsü (ESA WorldCover)</w:t>
            </w:r>
          </w:p>
        </w:tc>
        <w:tc>
          <w:tcPr>
            <w:tcW w:type="dxa" w:w="2835"/>
            <w:vAlign w:val="center"/>
          </w:tcPr>
          <w:p>
            <w:pPr>
              <w:spacing w:after="20" w:before="20"/>
            </w:pPr>
            <w:r>
              <w:rPr>
                <w:b w:val="0"/>
                <w:i w:val="0"/>
                <w:sz w:val="17"/>
              </w:rPr>
              <w:t>Çıplak/seyrek</w:t>
            </w:r>
          </w:p>
        </w:tc>
        <w:tc>
          <w:tcPr>
            <w:tcW w:type="dxa" w:w="1417"/>
            <w:vAlign w:val="center"/>
          </w:tcPr>
          <w:p>
            <w:pPr>
              <w:spacing w:after="20" w:before="20"/>
              <w:jc w:val="right"/>
            </w:pPr>
            <w:r>
              <w:rPr>
                <w:b w:val="0"/>
                <w:i w:val="0"/>
                <w:sz w:val="17"/>
              </w:rPr>
              <w:t>2,23</w:t>
            </w:r>
          </w:p>
        </w:tc>
      </w:tr>
      <w:tr>
        <w:tc>
          <w:tcPr>
            <w:tcW w:type="dxa" w:w="3969"/>
            <w:shd w:val="clear" w:color="auto" w:fill="EEF2F8"/>
            <w:vAlign w:val="center"/>
          </w:tcPr>
          <w:p>
            <w:pPr>
              <w:spacing w:after="20" w:before="20"/>
            </w:pPr>
            <w:r>
              <w:rPr>
                <w:b w:val="0"/>
                <w:i w:val="0"/>
                <w:sz w:val="17"/>
              </w:rPr>
              <w:t>arazi örtüsü (ESA WorldCover)</w:t>
            </w:r>
          </w:p>
        </w:tc>
        <w:tc>
          <w:tcPr>
            <w:tcW w:type="dxa" w:w="2835"/>
            <w:shd w:val="clear" w:color="auto" w:fill="EEF2F8"/>
            <w:vAlign w:val="center"/>
          </w:tcPr>
          <w:p>
            <w:pPr>
              <w:spacing w:after="20" w:before="20"/>
            </w:pPr>
            <w:r>
              <w:rPr>
                <w:b w:val="0"/>
                <w:i w:val="0"/>
                <w:sz w:val="17"/>
              </w:rPr>
              <w:t>Su</w:t>
            </w:r>
          </w:p>
        </w:tc>
        <w:tc>
          <w:tcPr>
            <w:tcW w:type="dxa" w:w="1417"/>
            <w:shd w:val="clear" w:color="auto" w:fill="EEF2F8"/>
            <w:vAlign w:val="center"/>
          </w:tcPr>
          <w:p>
            <w:pPr>
              <w:spacing w:after="20" w:before="20"/>
              <w:jc w:val="right"/>
            </w:pPr>
            <w:r>
              <w:rPr>
                <w:b w:val="0"/>
                <w:i w:val="0"/>
                <w:sz w:val="17"/>
              </w:rPr>
              <w:t>0,19</w:t>
            </w:r>
          </w:p>
        </w:tc>
      </w:tr>
      <w:tr>
        <w:tc>
          <w:tcPr>
            <w:tcW w:type="dxa" w:w="3969"/>
            <w:vAlign w:val="center"/>
          </w:tcPr>
          <w:p>
            <w:pPr>
              <w:spacing w:after="20" w:before="20"/>
            </w:pPr>
            <w:r>
              <w:rPr>
                <w:b w:val="0"/>
                <w:i w:val="0"/>
                <w:sz w:val="17"/>
              </w:rPr>
              <w:t>arazi örtüsü (ESA WorldCover)</w:t>
            </w:r>
          </w:p>
        </w:tc>
        <w:tc>
          <w:tcPr>
            <w:tcW w:type="dxa" w:w="2835"/>
            <w:vAlign w:val="center"/>
          </w:tcPr>
          <w:p>
            <w:pPr>
              <w:spacing w:after="20" w:before="20"/>
            </w:pPr>
            <w:r>
              <w:rPr>
                <w:b w:val="0"/>
                <w:i w:val="0"/>
                <w:sz w:val="17"/>
              </w:rPr>
              <w:t>Sulak alan</w:t>
            </w:r>
          </w:p>
        </w:tc>
        <w:tc>
          <w:tcPr>
            <w:tcW w:type="dxa" w:w="1417"/>
            <w:vAlign w:val="center"/>
          </w:tcPr>
          <w:p>
            <w:pPr>
              <w:spacing w:after="20" w:before="20"/>
              <w:jc w:val="right"/>
            </w:pPr>
            <w:r>
              <w:rPr>
                <w:b w:val="0"/>
                <w:i w:val="0"/>
                <w:sz w:val="17"/>
              </w:rPr>
              <w:t>0,00</w:t>
            </w:r>
          </w:p>
        </w:tc>
      </w:tr>
    </w:tbl>
    <w:p>
      <w:pPr>
        <w:spacing w:after="40"/>
      </w:pPr>
    </w:p>
    <w:p>
      <w:pPr>
        <w:keepNext/>
        <w:jc w:val="center"/>
      </w:pPr>
      <w:r>
        <w:drawing>
          <wp:inline xmlns:a="http://schemas.openxmlformats.org/drawingml/2006/main" xmlns:pic="http://schemas.openxmlformats.org/drawingml/2006/picture">
            <wp:extent cx="5760000" cy="3264000"/>
            <wp:docPr id="9" name="Picture 9"/>
            <wp:cNvGraphicFramePr>
              <a:graphicFrameLocks noChangeAspect="1"/>
            </wp:cNvGraphicFramePr>
            <a:graphic>
              <a:graphicData uri="http://schemas.openxmlformats.org/drawingml/2006/picture">
                <pic:pic>
                  <pic:nvPicPr>
                    <pic:cNvPr id="0" name="frequency_ratio.png"/>
                    <pic:cNvPicPr/>
                  </pic:nvPicPr>
                  <pic:blipFill>
                    <a:blip r:embed="rId17"/>
                    <a:stretch>
                      <a:fillRect/>
                    </a:stretch>
                  </pic:blipFill>
                  <pic:spPr>
                    <a:xfrm>
                      <a:off x="0" y="0"/>
                      <a:ext cx="5760000" cy="3264000"/>
                    </a:xfrm>
                    <a:prstGeom prst="rect"/>
                  </pic:spPr>
                </pic:pic>
              </a:graphicData>
            </a:graphic>
          </wp:inline>
        </w:drawing>
      </w:r>
    </w:p>
    <w:p>
      <w:pPr>
        <w:spacing w:after="200"/>
        <w:jc w:val="center"/>
      </w:pPr>
      <w:r>
        <w:rPr>
          <w:b w:val="0"/>
          <w:i/>
          <w:color w:val="595959"/>
          <w:sz w:val="19"/>
        </w:rPr>
        <w:t>Şekil 9. Frekans Oranı (kırmızı: FR &gt; 1, heyelana yatkın).</w:t>
      </w:r>
    </w:p>
    <w:p>
      <w:r>
        <w:rPr>
          <w:b/>
          <w:i w:val="0"/>
        </w:rPr>
        <w:t>“Heyelan yok” etiketinin kirliliği.</w:t>
      </w:r>
      <w:r>
        <w:rPr>
          <w:b w:val="0"/>
          <w:i w:val="0"/>
        </w:rPr>
        <w:t xml:space="preserve"> Envanter kar ve gölge nedeniyle eksik olabilir; bu durumda “heyelan yok” noktalarının bir kısmı aslında haritalanmamış heyelandır. Negatif noktaların heyelanlara medyan uzaklığı 24,36 km; yalnızca %2.1’i 1 km’den yakın. Dört eğitim varyantı aynı test bölgelerinde karşılaştırıldı:</w:t>
      </w:r>
    </w:p>
    <w:tbl>
      <w:tblPr>
        <w:tblStyle w:val="TableGrid"/>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1900"/>
        <w:gridCol w:w="1900"/>
        <w:gridCol w:w="1900"/>
        <w:gridCol w:w="1900"/>
        <w:gridCol w:w="1900"/>
      </w:tblGrid>
      <w:tr>
        <w:tc>
          <w:tcPr>
            <w:tcW w:type="dxa" w:w="3175"/>
            <w:shd w:val="clear" w:color="auto" w:fill="1F3864"/>
            <w:vAlign w:val="center"/>
          </w:tcPr>
          <w:p>
            <w:pPr>
              <w:spacing w:after="20" w:before="20"/>
            </w:pPr>
            <w:r/>
            <w:r>
              <w:rPr>
                <w:b/>
                <w:color w:val="FFFFFF"/>
                <w:sz w:val="17"/>
              </w:rPr>
              <w:t>Eğitim varyantı</w:t>
            </w:r>
          </w:p>
        </w:tc>
        <w:tc>
          <w:tcPr>
            <w:tcW w:type="dxa" w:w="1644"/>
            <w:shd w:val="clear" w:color="auto" w:fill="1F3864"/>
            <w:vAlign w:val="center"/>
          </w:tcPr>
          <w:p>
            <w:pPr>
              <w:spacing w:after="20" w:before="20"/>
              <w:jc w:val="right"/>
            </w:pPr>
            <w:r/>
            <w:r>
              <w:rPr>
                <w:b/>
                <w:color w:val="FFFFFF"/>
                <w:sz w:val="17"/>
              </w:rPr>
              <w:t>ROC-AUC</w:t>
            </w:r>
          </w:p>
        </w:tc>
        <w:tc>
          <w:tcPr>
            <w:tcW w:type="dxa" w:w="1191"/>
            <w:shd w:val="clear" w:color="auto" w:fill="1F3864"/>
            <w:vAlign w:val="center"/>
          </w:tcPr>
          <w:p>
            <w:pPr>
              <w:spacing w:after="20" w:before="20"/>
              <w:jc w:val="right"/>
            </w:pPr>
            <w:r/>
            <w:r>
              <w:rPr>
                <w:b/>
                <w:color w:val="FFFFFF"/>
                <w:sz w:val="17"/>
              </w:rPr>
              <w:t>Dik arazi</w:t>
            </w:r>
          </w:p>
        </w:tc>
        <w:tc>
          <w:tcPr>
            <w:tcW w:type="dxa" w:w="1814"/>
            <w:shd w:val="clear" w:color="auto" w:fill="1F3864"/>
            <w:vAlign w:val="center"/>
          </w:tcPr>
          <w:p>
            <w:pPr>
              <w:spacing w:after="20" w:before="20"/>
              <w:jc w:val="right"/>
            </w:pPr>
            <w:r/>
            <w:r>
              <w:rPr>
                <w:b/>
                <w:color w:val="FFFFFF"/>
                <w:sz w:val="17"/>
              </w:rPr>
              <w:t>Kritik PGA (P=0,5)</w:t>
            </w:r>
          </w:p>
        </w:tc>
        <w:tc>
          <w:tcPr>
            <w:tcW w:type="dxa" w:w="1644"/>
            <w:shd w:val="clear" w:color="auto" w:fill="1F3864"/>
            <w:vAlign w:val="center"/>
          </w:tcPr>
          <w:p>
            <w:pPr>
              <w:spacing w:after="20" w:before="20"/>
              <w:jc w:val="right"/>
            </w:pPr>
            <w:r/>
            <w:r>
              <w:rPr>
                <w:b/>
                <w:color w:val="FFFFFF"/>
                <w:sz w:val="17"/>
              </w:rPr>
              <w:t>Başlangıç (LR=1)</w:t>
            </w:r>
          </w:p>
        </w:tc>
      </w:tr>
      <w:tr>
        <w:tc>
          <w:tcPr>
            <w:tcW w:type="dxa" w:w="3175"/>
            <w:vAlign w:val="center"/>
          </w:tcPr>
          <w:p>
            <w:pPr>
              <w:spacing w:after="20" w:before="20"/>
            </w:pPr>
            <w:r>
              <w:rPr>
                <w:b w:val="0"/>
                <w:i w:val="0"/>
                <w:sz w:val="17"/>
              </w:rPr>
              <w:t>Temel (≥ 200 m)</w:t>
            </w:r>
          </w:p>
        </w:tc>
        <w:tc>
          <w:tcPr>
            <w:tcW w:type="dxa" w:w="1644"/>
            <w:vAlign w:val="center"/>
          </w:tcPr>
          <w:p>
            <w:pPr>
              <w:spacing w:after="20" w:before="20"/>
              <w:jc w:val="right"/>
            </w:pPr>
            <w:r>
              <w:rPr>
                <w:b w:val="0"/>
                <w:i w:val="0"/>
                <w:sz w:val="17"/>
              </w:rPr>
              <w:t>0,965 ± 0,014</w:t>
            </w:r>
          </w:p>
        </w:tc>
        <w:tc>
          <w:tcPr>
            <w:tcW w:type="dxa" w:w="1191"/>
            <w:vAlign w:val="center"/>
          </w:tcPr>
          <w:p>
            <w:pPr>
              <w:spacing w:after="20" w:before="20"/>
              <w:jc w:val="right"/>
            </w:pPr>
            <w:r>
              <w:rPr>
                <w:b w:val="0"/>
                <w:i w:val="0"/>
                <w:sz w:val="17"/>
              </w:rPr>
              <w:t>0,906</w:t>
            </w:r>
          </w:p>
        </w:tc>
        <w:tc>
          <w:tcPr>
            <w:tcW w:type="dxa" w:w="1814"/>
            <w:vAlign w:val="center"/>
          </w:tcPr>
          <w:p>
            <w:pPr>
              <w:spacing w:after="20" w:before="20"/>
              <w:jc w:val="right"/>
            </w:pPr>
            <w:r>
              <w:rPr>
                <w:b w:val="0"/>
                <w:i w:val="0"/>
                <w:sz w:val="17"/>
              </w:rPr>
              <w:t>0,57 ± 0,07 g</w:t>
            </w:r>
          </w:p>
        </w:tc>
        <w:tc>
          <w:tcPr>
            <w:tcW w:type="dxa" w:w="1644"/>
            <w:vAlign w:val="center"/>
          </w:tcPr>
          <w:p>
            <w:pPr>
              <w:spacing w:after="20" w:before="20"/>
              <w:jc w:val="right"/>
            </w:pPr>
            <w:r>
              <w:rPr>
                <w:b w:val="0"/>
                <w:i w:val="0"/>
                <w:sz w:val="17"/>
              </w:rPr>
              <w:t>0,06 ± 0,03 g</w:t>
            </w:r>
          </w:p>
        </w:tc>
      </w:tr>
      <w:tr>
        <w:tc>
          <w:tcPr>
            <w:tcW w:type="dxa" w:w="3175"/>
            <w:shd w:val="clear" w:color="auto" w:fill="EEF2F8"/>
            <w:vAlign w:val="center"/>
          </w:tcPr>
          <w:p>
            <w:pPr>
              <w:spacing w:after="20" w:before="20"/>
            </w:pPr>
            <w:r>
              <w:rPr>
                <w:b w:val="0"/>
                <w:i w:val="0"/>
                <w:sz w:val="17"/>
              </w:rPr>
              <w:t>Negatifler ≥ 1 km</w:t>
            </w:r>
          </w:p>
        </w:tc>
        <w:tc>
          <w:tcPr>
            <w:tcW w:type="dxa" w:w="1644"/>
            <w:shd w:val="clear" w:color="auto" w:fill="EEF2F8"/>
            <w:vAlign w:val="center"/>
          </w:tcPr>
          <w:p>
            <w:pPr>
              <w:spacing w:after="20" w:before="20"/>
              <w:jc w:val="right"/>
            </w:pPr>
            <w:r>
              <w:rPr>
                <w:b w:val="0"/>
                <w:i w:val="0"/>
                <w:sz w:val="17"/>
              </w:rPr>
              <w:t>0,965 ± 0,013</w:t>
            </w:r>
          </w:p>
        </w:tc>
        <w:tc>
          <w:tcPr>
            <w:tcW w:type="dxa" w:w="1191"/>
            <w:shd w:val="clear" w:color="auto" w:fill="EEF2F8"/>
            <w:vAlign w:val="center"/>
          </w:tcPr>
          <w:p>
            <w:pPr>
              <w:spacing w:after="20" w:before="20"/>
              <w:jc w:val="right"/>
            </w:pPr>
            <w:r>
              <w:rPr>
                <w:b w:val="0"/>
                <w:i w:val="0"/>
                <w:sz w:val="17"/>
              </w:rPr>
              <w:t>0,908</w:t>
            </w:r>
          </w:p>
        </w:tc>
        <w:tc>
          <w:tcPr>
            <w:tcW w:type="dxa" w:w="1814"/>
            <w:shd w:val="clear" w:color="auto" w:fill="EEF2F8"/>
            <w:vAlign w:val="center"/>
          </w:tcPr>
          <w:p>
            <w:pPr>
              <w:spacing w:after="20" w:before="20"/>
              <w:jc w:val="right"/>
            </w:pPr>
            <w:r>
              <w:rPr>
                <w:b w:val="0"/>
                <w:i w:val="0"/>
                <w:sz w:val="17"/>
              </w:rPr>
              <w:t>0,52 ± 0,06 g</w:t>
            </w:r>
          </w:p>
        </w:tc>
        <w:tc>
          <w:tcPr>
            <w:tcW w:type="dxa" w:w="1644"/>
            <w:shd w:val="clear" w:color="auto" w:fill="EEF2F8"/>
            <w:vAlign w:val="center"/>
          </w:tcPr>
          <w:p>
            <w:pPr>
              <w:spacing w:after="20" w:before="20"/>
              <w:jc w:val="right"/>
            </w:pPr>
            <w:r>
              <w:rPr>
                <w:b w:val="0"/>
                <w:i w:val="0"/>
                <w:sz w:val="17"/>
              </w:rPr>
              <w:t>0,06 ± 0,02 g</w:t>
            </w:r>
          </w:p>
        </w:tc>
      </w:tr>
      <w:tr>
        <w:tc>
          <w:tcPr>
            <w:tcW w:type="dxa" w:w="3175"/>
            <w:vAlign w:val="center"/>
          </w:tcPr>
          <w:p>
            <w:pPr>
              <w:spacing w:after="20" w:before="20"/>
            </w:pPr>
            <w:r>
              <w:rPr>
                <w:b w:val="0"/>
                <w:i w:val="0"/>
                <w:sz w:val="17"/>
              </w:rPr>
              <w:t>Negatifler ≥ 2 km</w:t>
            </w:r>
          </w:p>
        </w:tc>
        <w:tc>
          <w:tcPr>
            <w:tcW w:type="dxa" w:w="1644"/>
            <w:vAlign w:val="center"/>
          </w:tcPr>
          <w:p>
            <w:pPr>
              <w:spacing w:after="20" w:before="20"/>
              <w:jc w:val="right"/>
            </w:pPr>
            <w:r>
              <w:rPr>
                <w:b w:val="0"/>
                <w:i w:val="0"/>
                <w:sz w:val="17"/>
              </w:rPr>
              <w:t>0,965 ± 0,014</w:t>
            </w:r>
          </w:p>
        </w:tc>
        <w:tc>
          <w:tcPr>
            <w:tcW w:type="dxa" w:w="1191"/>
            <w:vAlign w:val="center"/>
          </w:tcPr>
          <w:p>
            <w:pPr>
              <w:spacing w:after="20" w:before="20"/>
              <w:jc w:val="right"/>
            </w:pPr>
            <w:r>
              <w:rPr>
                <w:b w:val="0"/>
                <w:i w:val="0"/>
                <w:sz w:val="17"/>
              </w:rPr>
              <w:t>0,907</w:t>
            </w:r>
          </w:p>
        </w:tc>
        <w:tc>
          <w:tcPr>
            <w:tcW w:type="dxa" w:w="1814"/>
            <w:vAlign w:val="center"/>
          </w:tcPr>
          <w:p>
            <w:pPr>
              <w:spacing w:after="20" w:before="20"/>
              <w:jc w:val="right"/>
            </w:pPr>
            <w:r>
              <w:rPr>
                <w:b w:val="0"/>
                <w:i w:val="0"/>
                <w:sz w:val="17"/>
              </w:rPr>
              <w:t>0,46 ± 0,05 g</w:t>
            </w:r>
          </w:p>
        </w:tc>
        <w:tc>
          <w:tcPr>
            <w:tcW w:type="dxa" w:w="1644"/>
            <w:vAlign w:val="center"/>
          </w:tcPr>
          <w:p>
            <w:pPr>
              <w:spacing w:after="20" w:before="20"/>
              <w:jc w:val="right"/>
            </w:pPr>
            <w:r>
              <w:rPr>
                <w:b w:val="0"/>
                <w:i w:val="0"/>
                <w:sz w:val="17"/>
              </w:rPr>
              <w:t>0,09 ± 0,02 g</w:t>
            </w:r>
          </w:p>
        </w:tc>
      </w:tr>
      <w:tr>
        <w:tc>
          <w:tcPr>
            <w:tcW w:type="dxa" w:w="3175"/>
            <w:shd w:val="clear" w:color="auto" w:fill="EEF2F8"/>
            <w:vAlign w:val="center"/>
          </w:tcPr>
          <w:p>
            <w:pPr>
              <w:spacing w:after="20" w:before="20"/>
            </w:pPr>
            <w:r>
              <w:rPr>
                <w:b w:val="0"/>
                <w:i w:val="0"/>
                <w:sz w:val="17"/>
              </w:rPr>
              <w:t>PU-casus (%5 şüpheli negatif çıkarıldı)</w:t>
            </w:r>
          </w:p>
        </w:tc>
        <w:tc>
          <w:tcPr>
            <w:tcW w:type="dxa" w:w="1644"/>
            <w:shd w:val="clear" w:color="auto" w:fill="EEF2F8"/>
            <w:vAlign w:val="center"/>
          </w:tcPr>
          <w:p>
            <w:pPr>
              <w:spacing w:after="20" w:before="20"/>
              <w:jc w:val="right"/>
            </w:pPr>
            <w:r>
              <w:rPr>
                <w:b w:val="0"/>
                <w:i w:val="0"/>
                <w:sz w:val="17"/>
              </w:rPr>
              <w:t>0,967 ± 0,011</w:t>
            </w:r>
          </w:p>
        </w:tc>
        <w:tc>
          <w:tcPr>
            <w:tcW w:type="dxa" w:w="1191"/>
            <w:shd w:val="clear" w:color="auto" w:fill="EEF2F8"/>
            <w:vAlign w:val="center"/>
          </w:tcPr>
          <w:p>
            <w:pPr>
              <w:spacing w:after="20" w:before="20"/>
              <w:jc w:val="right"/>
            </w:pPr>
            <w:r>
              <w:rPr>
                <w:b w:val="0"/>
                <w:i w:val="0"/>
                <w:sz w:val="17"/>
              </w:rPr>
              <w:t>0,915</w:t>
            </w:r>
          </w:p>
        </w:tc>
        <w:tc>
          <w:tcPr>
            <w:tcW w:type="dxa" w:w="1814"/>
            <w:shd w:val="clear" w:color="auto" w:fill="EEF2F8"/>
            <w:vAlign w:val="center"/>
          </w:tcPr>
          <w:p>
            <w:pPr>
              <w:spacing w:after="20" w:before="20"/>
              <w:jc w:val="right"/>
            </w:pPr>
            <w:r>
              <w:rPr>
                <w:b w:val="0"/>
                <w:i w:val="0"/>
                <w:sz w:val="17"/>
              </w:rPr>
              <w:t>0,35 ± 0,03 g</w:t>
            </w:r>
          </w:p>
        </w:tc>
        <w:tc>
          <w:tcPr>
            <w:tcW w:type="dxa" w:w="1644"/>
            <w:shd w:val="clear" w:color="auto" w:fill="EEF2F8"/>
            <w:vAlign w:val="center"/>
          </w:tcPr>
          <w:p>
            <w:pPr>
              <w:spacing w:after="20" w:before="20"/>
              <w:jc w:val="right"/>
            </w:pPr>
            <w:r>
              <w:rPr>
                <w:b w:val="0"/>
                <w:i w:val="0"/>
                <w:sz w:val="17"/>
              </w:rPr>
              <w:t>0,04 ± 0,03 g</w:t>
            </w:r>
          </w:p>
        </w:tc>
      </w:tr>
    </w:tbl>
    <w:p>
      <w:pPr>
        <w:spacing w:after="40"/>
      </w:pPr>
    </w:p>
    <w:p>
      <w:r>
        <w:rPr>
          <w:b/>
          <w:i w:val="0"/>
        </w:rPr>
        <w:t>Uydu doğrulaması.</w:t>
      </w:r>
      <w:r>
        <w:rPr>
          <w:b w:val="0"/>
          <w:i w:val="0"/>
        </w:rPr>
        <w:t xml:space="preserve"> Her poligonda 2022 yazı → 2023 yazı Sentinel-2 bitki örtüsü (NDVI) ve parlaklık değişimi, çevresindeki halkaya göre ölçülecek şekilde hazırlandı (Google Earth Engine betiği gee/ndvi_change.js). Sinyal vermeyen poligonlar eğitimden çıkarılarak duyarlılık yeniden raporlanacak.</w:t>
      </w:r>
    </w:p>
    <w:p>
      <w:r>
        <w:rPr>
          <w:b w:val="0"/>
          <w:i w:val="0"/>
        </w:rPr>
        <w:t>Sonuç: kullanılabilir poligonların %53’inde uydudan bağımsız heyelan izi doğrulandı; dik arka plan noktalarında olası kaçmış heyelan oranı %9.1 (eşiğin kendi taban değeri ≈ %10).</w:t>
      </w:r>
    </w:p>
    <w:p>
      <w:pPr>
        <w:pStyle w:val="Heading2"/>
      </w:pPr>
      <w:r>
        <w:t>5.8 Yağış Senaryosu: Deprem + Zemin Doygunluğu</w:t>
      </w:r>
    </w:p>
    <w:p>
      <w:r>
        <w:rPr>
          <w:b w:val="0"/>
          <w:i w:val="0"/>
        </w:rPr>
        <w:t>Yağış, zemindeki boşluk suyu basıncını artırarak yamacın dayanımını düşürür. Su tablasının kayma yüzeyinin üzerinde m oranında (0 kuru, 1 yüzeye kadar doygun) olduğu kabul edildi: u = m·γw·z·cos²θ. Bu basınç güvenlik faktörünü ve kritik ivmeyi düşürür, Newmark kaymasını artırır. Fizik kısıtına bu ‘doygunluk yolu’ da eklendi: model, zemin ıslandıkça heyelan olasılığını düşüremez.</w:t>
      </w:r>
    </w:p>
    <w:p>
      <w:r>
        <w:rPr>
          <w:b w:val="0"/>
          <w:i w:val="0"/>
        </w:rPr>
        <w:t>6 Şubat 2023 sabahı zemin ıslaktı: ERA5-Land kök bölgesi doygunluğu medyan 0,62, depremden önceki 30 günde medyan 70 mm yağış.</w:t>
      </w:r>
    </w:p>
    <w:tbl>
      <w:tblPr>
        <w:tblStyle w:val="TableGrid"/>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1900"/>
        <w:gridCol w:w="1900"/>
        <w:gridCol w:w="1900"/>
        <w:gridCol w:w="1900"/>
        <w:gridCol w:w="1900"/>
      </w:tblGrid>
      <w:tr>
        <w:tc>
          <w:tcPr>
            <w:tcW w:type="dxa" w:w="1701"/>
            <w:shd w:val="clear" w:color="auto" w:fill="1F3864"/>
            <w:vAlign w:val="center"/>
          </w:tcPr>
          <w:p>
            <w:pPr>
              <w:spacing w:after="20" w:before="20"/>
            </w:pPr>
            <w:r/>
            <w:r>
              <w:rPr>
                <w:b/>
                <w:color w:val="FFFFFF"/>
                <w:sz w:val="19"/>
              </w:rPr>
              <w:t>Doygunluk m</w:t>
            </w:r>
          </w:p>
        </w:tc>
        <w:tc>
          <w:tcPr>
            <w:tcW w:type="dxa" w:w="2041"/>
            <w:shd w:val="clear" w:color="auto" w:fill="1F3864"/>
            <w:vAlign w:val="center"/>
          </w:tcPr>
          <w:p>
            <w:pPr>
              <w:spacing w:after="20" w:before="20"/>
              <w:jc w:val="right"/>
            </w:pPr>
            <w:r/>
            <w:r>
              <w:rPr>
                <w:b/>
                <w:color w:val="FFFFFF"/>
                <w:sz w:val="19"/>
              </w:rPr>
              <w:t>Kritik PGA (P = 0,5)</w:t>
            </w:r>
          </w:p>
        </w:tc>
        <w:tc>
          <w:tcPr>
            <w:tcW w:type="dxa" w:w="1928"/>
            <w:shd w:val="clear" w:color="auto" w:fill="1F3864"/>
            <w:vAlign w:val="center"/>
          </w:tcPr>
          <w:p>
            <w:pPr>
              <w:spacing w:after="20" w:before="20"/>
              <w:jc w:val="right"/>
            </w:pPr>
            <w:r/>
            <w:r>
              <w:rPr>
                <w:b/>
                <w:color w:val="FFFFFF"/>
                <w:sz w:val="19"/>
              </w:rPr>
              <w:t>Başlangıç (LR = 1)</w:t>
            </w:r>
          </w:p>
        </w:tc>
        <w:tc>
          <w:tcPr>
            <w:tcW w:type="dxa" w:w="1814"/>
            <w:shd w:val="clear" w:color="auto" w:fill="1F3864"/>
            <w:vAlign w:val="center"/>
          </w:tcPr>
          <w:p>
            <w:pPr>
              <w:spacing w:after="20" w:before="20"/>
              <w:jc w:val="right"/>
            </w:pPr>
            <w:r/>
            <w:r>
              <w:rPr>
                <w:b/>
                <w:color w:val="FFFFFF"/>
                <w:sz w:val="19"/>
              </w:rPr>
              <w:t>Newmark %50</w:t>
            </w:r>
          </w:p>
        </w:tc>
        <w:tc>
          <w:tcPr>
            <w:tcW w:type="dxa" w:w="1701"/>
            <w:shd w:val="clear" w:color="auto" w:fill="1F3864"/>
            <w:vAlign w:val="center"/>
          </w:tcPr>
          <w:p>
            <w:pPr>
              <w:spacing w:after="20" w:before="20"/>
              <w:jc w:val="right"/>
            </w:pPr>
            <w:r/>
            <w:r>
              <w:rPr>
                <w:b/>
                <w:color w:val="FFFFFF"/>
                <w:sz w:val="19"/>
              </w:rPr>
              <w:t>Medyan Kᵧ</w:t>
            </w:r>
          </w:p>
        </w:tc>
      </w:tr>
      <w:tr>
        <w:tc>
          <w:tcPr>
            <w:tcW w:type="dxa" w:w="1701"/>
            <w:vAlign w:val="center"/>
          </w:tcPr>
          <w:p>
            <w:pPr>
              <w:spacing w:after="20" w:before="20"/>
            </w:pPr>
            <w:r>
              <w:rPr>
                <w:b w:val="0"/>
                <w:i w:val="0"/>
                <w:sz w:val="19"/>
              </w:rPr>
              <w:t>0,00</w:t>
            </w:r>
          </w:p>
        </w:tc>
        <w:tc>
          <w:tcPr>
            <w:tcW w:type="dxa" w:w="2041"/>
            <w:vAlign w:val="center"/>
          </w:tcPr>
          <w:p>
            <w:pPr>
              <w:spacing w:after="20" w:before="20"/>
              <w:jc w:val="right"/>
            </w:pPr>
            <w:r>
              <w:rPr>
                <w:b w:val="0"/>
                <w:i w:val="0"/>
                <w:sz w:val="19"/>
              </w:rPr>
              <w:t>0,59 g</w:t>
            </w:r>
          </w:p>
        </w:tc>
        <w:tc>
          <w:tcPr>
            <w:tcW w:type="dxa" w:w="1928"/>
            <w:vAlign w:val="center"/>
          </w:tcPr>
          <w:p>
            <w:pPr>
              <w:spacing w:after="20" w:before="20"/>
              <w:jc w:val="right"/>
            </w:pPr>
            <w:r>
              <w:rPr>
                <w:b w:val="0"/>
                <w:i w:val="0"/>
                <w:sz w:val="19"/>
              </w:rPr>
              <w:t>0,08 g</w:t>
            </w:r>
          </w:p>
        </w:tc>
        <w:tc>
          <w:tcPr>
            <w:tcW w:type="dxa" w:w="1814"/>
            <w:vAlign w:val="center"/>
          </w:tcPr>
          <w:p>
            <w:pPr>
              <w:spacing w:after="20" w:before="20"/>
              <w:jc w:val="right"/>
            </w:pPr>
            <w:r>
              <w:rPr>
                <w:b w:val="0"/>
                <w:i w:val="0"/>
                <w:sz w:val="19"/>
              </w:rPr>
              <w:t>1,23 g</w:t>
            </w:r>
          </w:p>
        </w:tc>
        <w:tc>
          <w:tcPr>
            <w:tcW w:type="dxa" w:w="1701"/>
            <w:vAlign w:val="center"/>
          </w:tcPr>
          <w:p>
            <w:pPr>
              <w:spacing w:after="20" w:before="20"/>
              <w:jc w:val="right"/>
            </w:pPr>
            <w:r>
              <w:rPr>
                <w:b w:val="0"/>
                <w:i w:val="0"/>
                <w:sz w:val="19"/>
              </w:rPr>
              <w:t>0,243 g</w:t>
            </w:r>
          </w:p>
        </w:tc>
      </w:tr>
      <w:tr>
        <w:tc>
          <w:tcPr>
            <w:tcW w:type="dxa" w:w="1701"/>
            <w:shd w:val="clear" w:color="auto" w:fill="EEF2F8"/>
            <w:vAlign w:val="center"/>
          </w:tcPr>
          <w:p>
            <w:pPr>
              <w:spacing w:after="20" w:before="20"/>
            </w:pPr>
            <w:r>
              <w:rPr>
                <w:b w:val="0"/>
                <w:i w:val="0"/>
                <w:sz w:val="19"/>
              </w:rPr>
              <w:t>0,25</w:t>
            </w:r>
          </w:p>
        </w:tc>
        <w:tc>
          <w:tcPr>
            <w:tcW w:type="dxa" w:w="2041"/>
            <w:shd w:val="clear" w:color="auto" w:fill="EEF2F8"/>
            <w:vAlign w:val="center"/>
          </w:tcPr>
          <w:p>
            <w:pPr>
              <w:spacing w:after="20" w:before="20"/>
              <w:jc w:val="right"/>
            </w:pPr>
            <w:r>
              <w:rPr>
                <w:b w:val="0"/>
                <w:i w:val="0"/>
                <w:sz w:val="19"/>
              </w:rPr>
              <w:t>0,56 g</w:t>
            </w:r>
          </w:p>
        </w:tc>
        <w:tc>
          <w:tcPr>
            <w:tcW w:type="dxa" w:w="1928"/>
            <w:shd w:val="clear" w:color="auto" w:fill="EEF2F8"/>
            <w:vAlign w:val="center"/>
          </w:tcPr>
          <w:p>
            <w:pPr>
              <w:spacing w:after="20" w:before="20"/>
              <w:jc w:val="right"/>
            </w:pPr>
            <w:r>
              <w:rPr>
                <w:b w:val="0"/>
                <w:i w:val="0"/>
                <w:sz w:val="19"/>
              </w:rPr>
              <w:t>0,07 g</w:t>
            </w:r>
          </w:p>
        </w:tc>
        <w:tc>
          <w:tcPr>
            <w:tcW w:type="dxa" w:w="1814"/>
            <w:shd w:val="clear" w:color="auto" w:fill="EEF2F8"/>
            <w:vAlign w:val="center"/>
          </w:tcPr>
          <w:p>
            <w:pPr>
              <w:spacing w:after="20" w:before="20"/>
              <w:jc w:val="right"/>
            </w:pPr>
            <w:r>
              <w:rPr>
                <w:b w:val="0"/>
                <w:i w:val="0"/>
                <w:sz w:val="19"/>
              </w:rPr>
              <w:t>0,91 g</w:t>
            </w:r>
          </w:p>
        </w:tc>
        <w:tc>
          <w:tcPr>
            <w:tcW w:type="dxa" w:w="1701"/>
            <w:shd w:val="clear" w:color="auto" w:fill="EEF2F8"/>
            <w:vAlign w:val="center"/>
          </w:tcPr>
          <w:p>
            <w:pPr>
              <w:spacing w:after="20" w:before="20"/>
              <w:jc w:val="right"/>
            </w:pPr>
            <w:r>
              <w:rPr>
                <w:b w:val="0"/>
                <w:i w:val="0"/>
                <w:sz w:val="19"/>
              </w:rPr>
              <w:t>0,181 g</w:t>
            </w:r>
          </w:p>
        </w:tc>
      </w:tr>
      <w:tr>
        <w:tc>
          <w:tcPr>
            <w:tcW w:type="dxa" w:w="1701"/>
            <w:vAlign w:val="center"/>
          </w:tcPr>
          <w:p>
            <w:pPr>
              <w:spacing w:after="20" w:before="20"/>
            </w:pPr>
            <w:r>
              <w:rPr>
                <w:b w:val="0"/>
                <w:i w:val="0"/>
                <w:sz w:val="19"/>
              </w:rPr>
              <w:t>0,50</w:t>
            </w:r>
          </w:p>
        </w:tc>
        <w:tc>
          <w:tcPr>
            <w:tcW w:type="dxa" w:w="2041"/>
            <w:vAlign w:val="center"/>
          </w:tcPr>
          <w:p>
            <w:pPr>
              <w:spacing w:after="20" w:before="20"/>
              <w:jc w:val="right"/>
            </w:pPr>
            <w:r>
              <w:rPr>
                <w:b w:val="0"/>
                <w:i w:val="0"/>
                <w:sz w:val="19"/>
              </w:rPr>
              <w:t>0,52 g</w:t>
            </w:r>
          </w:p>
        </w:tc>
        <w:tc>
          <w:tcPr>
            <w:tcW w:type="dxa" w:w="1928"/>
            <w:vAlign w:val="center"/>
          </w:tcPr>
          <w:p>
            <w:pPr>
              <w:spacing w:after="20" w:before="20"/>
              <w:jc w:val="right"/>
            </w:pPr>
            <w:r>
              <w:rPr>
                <w:b w:val="0"/>
                <w:i w:val="0"/>
                <w:sz w:val="19"/>
              </w:rPr>
              <w:t>0,05 g</w:t>
            </w:r>
          </w:p>
        </w:tc>
        <w:tc>
          <w:tcPr>
            <w:tcW w:type="dxa" w:w="1814"/>
            <w:vAlign w:val="center"/>
          </w:tcPr>
          <w:p>
            <w:pPr>
              <w:spacing w:after="20" w:before="20"/>
              <w:jc w:val="right"/>
            </w:pPr>
            <w:r>
              <w:rPr>
                <w:b w:val="0"/>
                <w:i w:val="0"/>
                <w:sz w:val="19"/>
              </w:rPr>
              <w:t>0,60 g</w:t>
            </w:r>
          </w:p>
        </w:tc>
        <w:tc>
          <w:tcPr>
            <w:tcW w:type="dxa" w:w="1701"/>
            <w:vAlign w:val="center"/>
          </w:tcPr>
          <w:p>
            <w:pPr>
              <w:spacing w:after="20" w:before="20"/>
              <w:jc w:val="right"/>
            </w:pPr>
            <w:r>
              <w:rPr>
                <w:b w:val="0"/>
                <w:i w:val="0"/>
                <w:sz w:val="19"/>
              </w:rPr>
              <w:t>0,119 g</w:t>
            </w:r>
          </w:p>
        </w:tc>
      </w:tr>
      <w:tr>
        <w:tc>
          <w:tcPr>
            <w:tcW w:type="dxa" w:w="1701"/>
            <w:shd w:val="clear" w:color="auto" w:fill="EEF2F8"/>
            <w:vAlign w:val="center"/>
          </w:tcPr>
          <w:p>
            <w:pPr>
              <w:spacing w:after="20" w:before="20"/>
            </w:pPr>
            <w:r>
              <w:rPr>
                <w:b w:val="0"/>
                <w:i w:val="0"/>
                <w:sz w:val="19"/>
              </w:rPr>
              <w:t>0,75</w:t>
            </w:r>
          </w:p>
        </w:tc>
        <w:tc>
          <w:tcPr>
            <w:tcW w:type="dxa" w:w="2041"/>
            <w:shd w:val="clear" w:color="auto" w:fill="EEF2F8"/>
            <w:vAlign w:val="center"/>
          </w:tcPr>
          <w:p>
            <w:pPr>
              <w:spacing w:after="20" w:before="20"/>
              <w:jc w:val="right"/>
            </w:pPr>
            <w:r>
              <w:rPr>
                <w:b w:val="0"/>
                <w:i w:val="0"/>
                <w:sz w:val="19"/>
              </w:rPr>
              <w:t>0,47 g</w:t>
            </w:r>
          </w:p>
        </w:tc>
        <w:tc>
          <w:tcPr>
            <w:tcW w:type="dxa" w:w="1928"/>
            <w:shd w:val="clear" w:color="auto" w:fill="EEF2F8"/>
            <w:vAlign w:val="center"/>
          </w:tcPr>
          <w:p>
            <w:pPr>
              <w:spacing w:after="20" w:before="20"/>
              <w:jc w:val="right"/>
            </w:pPr>
            <w:r>
              <w:rPr>
                <w:b w:val="0"/>
                <w:i w:val="0"/>
                <w:sz w:val="19"/>
              </w:rPr>
              <w:t>0,02 g</w:t>
            </w:r>
          </w:p>
        </w:tc>
        <w:tc>
          <w:tcPr>
            <w:tcW w:type="dxa" w:w="1814"/>
            <w:shd w:val="clear" w:color="auto" w:fill="EEF2F8"/>
            <w:vAlign w:val="center"/>
          </w:tcPr>
          <w:p>
            <w:pPr>
              <w:spacing w:after="20" w:before="20"/>
              <w:jc w:val="right"/>
            </w:pPr>
            <w:r>
              <w:rPr>
                <w:b w:val="0"/>
                <w:i w:val="0"/>
                <w:sz w:val="19"/>
              </w:rPr>
              <w:t>0,29 g</w:t>
            </w:r>
          </w:p>
        </w:tc>
        <w:tc>
          <w:tcPr>
            <w:tcW w:type="dxa" w:w="1701"/>
            <w:shd w:val="clear" w:color="auto" w:fill="EEF2F8"/>
            <w:vAlign w:val="center"/>
          </w:tcPr>
          <w:p>
            <w:pPr>
              <w:spacing w:after="20" w:before="20"/>
              <w:jc w:val="right"/>
            </w:pPr>
            <w:r>
              <w:rPr>
                <w:b w:val="0"/>
                <w:i w:val="0"/>
                <w:sz w:val="19"/>
              </w:rPr>
              <w:t>0,057 g</w:t>
            </w:r>
          </w:p>
        </w:tc>
      </w:tr>
      <w:tr>
        <w:tc>
          <w:tcPr>
            <w:tcW w:type="dxa" w:w="1701"/>
            <w:vAlign w:val="center"/>
          </w:tcPr>
          <w:p>
            <w:pPr>
              <w:spacing w:after="20" w:before="20"/>
            </w:pPr>
            <w:r>
              <w:rPr>
                <w:b w:val="0"/>
                <w:i w:val="0"/>
                <w:sz w:val="19"/>
              </w:rPr>
              <w:t>1,00</w:t>
            </w:r>
          </w:p>
        </w:tc>
        <w:tc>
          <w:tcPr>
            <w:tcW w:type="dxa" w:w="2041"/>
            <w:vAlign w:val="center"/>
          </w:tcPr>
          <w:p>
            <w:pPr>
              <w:spacing w:after="20" w:before="20"/>
              <w:jc w:val="right"/>
            </w:pPr>
            <w:r>
              <w:rPr>
                <w:b w:val="0"/>
                <w:i w:val="0"/>
                <w:sz w:val="19"/>
              </w:rPr>
              <w:t>0,43 g</w:t>
            </w:r>
          </w:p>
        </w:tc>
        <w:tc>
          <w:tcPr>
            <w:tcW w:type="dxa" w:w="1928"/>
            <w:vAlign w:val="center"/>
          </w:tcPr>
          <w:p>
            <w:pPr>
              <w:spacing w:after="20" w:before="20"/>
              <w:jc w:val="right"/>
            </w:pPr>
            <w:r>
              <w:rPr>
                <w:b w:val="0"/>
                <w:i w:val="0"/>
                <w:sz w:val="19"/>
              </w:rPr>
              <w:t>0,02 g</w:t>
            </w:r>
          </w:p>
        </w:tc>
        <w:tc>
          <w:tcPr>
            <w:tcW w:type="dxa" w:w="1814"/>
            <w:vAlign w:val="center"/>
          </w:tcPr>
          <w:p>
            <w:pPr>
              <w:spacing w:after="20" w:before="20"/>
              <w:jc w:val="right"/>
            </w:pPr>
            <w:r>
              <w:rPr>
                <w:b w:val="0"/>
                <w:i w:val="0"/>
                <w:sz w:val="19"/>
              </w:rPr>
              <w:t>0,02 g</w:t>
            </w:r>
          </w:p>
        </w:tc>
        <w:tc>
          <w:tcPr>
            <w:tcW w:type="dxa" w:w="1701"/>
            <w:vAlign w:val="center"/>
          </w:tcPr>
          <w:p>
            <w:pPr>
              <w:spacing w:after="20" w:before="20"/>
              <w:jc w:val="right"/>
            </w:pPr>
            <w:r>
              <w:rPr>
                <w:b w:val="0"/>
                <w:i w:val="0"/>
                <w:sz w:val="19"/>
              </w:rPr>
              <w:t>0,000 g</w:t>
            </w:r>
          </w:p>
        </w:tc>
      </w:tr>
    </w:tbl>
    <w:p>
      <w:pPr>
        <w:spacing w:after="40"/>
      </w:pPr>
    </w:p>
    <w:p>
      <w:pPr>
        <w:pStyle w:val="ListBullet"/>
        <w:spacing w:after="60"/>
      </w:pPr>
      <w:r>
        <w:rPr>
          <w:b w:val="0"/>
          <w:i w:val="0"/>
        </w:rPr>
        <w:t>Gerçek olay nemini kullanmak gözlemle uyumu artırıyor: saf fizik (Newmark) AUC 0,622 → 0,705, heyelanları yakalama oranı %10 → %24; PINN AUC 0,966 → 0,967.</w:t>
      </w:r>
    </w:p>
    <w:p>
      <w:pPr>
        <w:pStyle w:val="ListBullet"/>
        <w:spacing w:after="60"/>
      </w:pPr>
      <w:r>
        <w:rPr>
          <w:b w:val="0"/>
          <w:i w:val="0"/>
        </w:rPr>
        <w:t>Yorum: 2023 heyelanları ıslak kış koşullarında gerçekleşti; kuru varsayım fiziği muhafazakâr kılıyor. Bu, deprem ve yağışı aynı fizik çerçevesinde birleştiren dijital ikizin ana katkısıdır.</w:t>
      </w:r>
    </w:p>
    <w:p>
      <w:pPr>
        <w:keepNext/>
        <w:jc w:val="center"/>
      </w:pPr>
      <w:r>
        <w:drawing>
          <wp:inline xmlns:a="http://schemas.openxmlformats.org/drawingml/2006/main" xmlns:pic="http://schemas.openxmlformats.org/drawingml/2006/picture">
            <wp:extent cx="5760000" cy="2215385"/>
            <wp:docPr id="10" name="Picture 10"/>
            <wp:cNvGraphicFramePr>
              <a:graphicFrameLocks noChangeAspect="1"/>
            </wp:cNvGraphicFramePr>
            <a:graphic>
              <a:graphicData uri="http://schemas.openxmlformats.org/drawingml/2006/picture">
                <pic:pic>
                  <pic:nvPicPr>
                    <pic:cNvPr id="0" name="rainfall_scenario_curves.png"/>
                    <pic:cNvPicPr/>
                  </pic:nvPicPr>
                  <pic:blipFill>
                    <a:blip r:embed="rId18"/>
                    <a:stretch>
                      <a:fillRect/>
                    </a:stretch>
                  </pic:blipFill>
                  <pic:spPr>
                    <a:xfrm>
                      <a:off x="0" y="0"/>
                      <a:ext cx="5760000" cy="2215385"/>
                    </a:xfrm>
                    <a:prstGeom prst="rect"/>
                  </pic:spPr>
                </pic:pic>
              </a:graphicData>
            </a:graphic>
          </wp:inline>
        </w:drawing>
      </w:r>
    </w:p>
    <w:p>
      <w:pPr>
        <w:spacing w:after="200"/>
        <w:jc w:val="center"/>
      </w:pPr>
      <w:r>
        <w:rPr>
          <w:b w:val="0"/>
          <w:i/>
          <w:color w:val="595959"/>
          <w:sz w:val="19"/>
        </w:rPr>
        <w:t>Şekil 10. Zemin doygunluğu arttıkça tetiklenme daha düşük PGA’da başlıyor.</w:t>
      </w:r>
    </w:p>
    <w:p>
      <w:pPr>
        <w:keepNext/>
        <w:jc w:val="center"/>
      </w:pPr>
      <w:r>
        <w:drawing>
          <wp:inline xmlns:a="http://schemas.openxmlformats.org/drawingml/2006/main" xmlns:pic="http://schemas.openxmlformats.org/drawingml/2006/picture">
            <wp:extent cx="5940000" cy="1455315"/>
            <wp:docPr id="11" name="Picture 11"/>
            <wp:cNvGraphicFramePr>
              <a:graphicFrameLocks noChangeAspect="1"/>
            </wp:cNvGraphicFramePr>
            <a:graphic>
              <a:graphicData uri="http://schemas.openxmlformats.org/drawingml/2006/picture">
                <pic:pic>
                  <pic:nvPicPr>
                    <pic:cNvPr id="0" name="rainfall_maps.png"/>
                    <pic:cNvPicPr/>
                  </pic:nvPicPr>
                  <pic:blipFill>
                    <a:blip r:embed="rId19"/>
                    <a:stretch>
                      <a:fillRect/>
                    </a:stretch>
                  </pic:blipFill>
                  <pic:spPr>
                    <a:xfrm>
                      <a:off x="0" y="0"/>
                      <a:ext cx="5940000" cy="1455315"/>
                    </a:xfrm>
                    <a:prstGeom prst="rect"/>
                  </pic:spPr>
                </pic:pic>
              </a:graphicData>
            </a:graphic>
          </wp:inline>
        </w:drawing>
      </w:r>
    </w:p>
    <w:p>
      <w:pPr>
        <w:spacing w:after="200"/>
        <w:jc w:val="center"/>
      </w:pPr>
      <w:r>
        <w:rPr>
          <w:b w:val="0"/>
          <w:i/>
          <w:color w:val="595959"/>
          <w:sz w:val="19"/>
        </w:rPr>
        <w:t>Şekil 11. Kuru ve 6 Şubat 2023 nemiyle duyarlılık; sağda fark.</w:t>
      </w:r>
    </w:p>
    <w:p>
      <w:pPr>
        <w:pStyle w:val="Heading2"/>
      </w:pPr>
      <w:r>
        <w:t>5.9 Litoloji Ablasyonu</w:t>
      </w:r>
    </w:p>
    <w:p>
      <w:r>
        <w:rPr>
          <w:b w:val="0"/>
          <w:i w:val="0"/>
        </w:rPr>
        <w:t>Kaba litoloji proxy’sinin sonuçları belirleyip belirlemediği, tüm noktalara tek tip zemin atanarak sınandı: litolojisiz model AUC 0,967 ± 0,011 (litolojili 0,965). Proxy ayırma gücüne katkı vermiyor; resmi MTA haritasının yokluğu ana bulgular için engel değil. Litolojiye özgü çıktılar (tasarım tablosu) gösterge niteliğindedir.</w:t>
      </w:r>
    </w:p>
    <w:p>
      <w:pPr>
        <w:pStyle w:val="Heading1"/>
      </w:pPr>
      <w:r>
        <w:t>6. İnteraktif Uygulama</w:t>
      </w:r>
    </w:p>
    <w:p>
      <w:r>
        <w:rPr>
          <w:b w:val="0"/>
          <w:i w:val="0"/>
        </w:rPr>
        <w:t>Model, React (arayüz) + FastAPI (sunucu) tabanlı bir web uygulamasına bağlandı. Başlıca sayfalar:</w:t>
      </w:r>
    </w:p>
    <w:p>
      <w:pPr>
        <w:pStyle w:val="ListBullet"/>
        <w:spacing w:after="60"/>
      </w:pPr>
      <w:r>
        <w:rPr>
          <w:b/>
          <w:i w:val="0"/>
        </w:rPr>
        <w:t>Tahmin:</w:t>
      </w:r>
      <w:r>
        <w:rPr>
          <w:b w:val="0"/>
          <w:i w:val="0"/>
        </w:rPr>
        <w:t xml:space="preserve"> Eğim, yükseklik, bakı, litoloji ve PGA girilir → anlık heyelan olasılığı, Kᵧ ve Dₙ gösterilir. Envanter kimliği veya koordinatla da seçim yapılabilir.</w:t>
      </w:r>
    </w:p>
    <w:p>
      <w:pPr>
        <w:pStyle w:val="ListBullet"/>
        <w:spacing w:after="60"/>
      </w:pPr>
      <w:r>
        <w:rPr>
          <w:b/>
          <w:i w:val="0"/>
        </w:rPr>
        <w:t>Kritik PGA:</w:t>
      </w:r>
      <w:r>
        <w:rPr>
          <w:b w:val="0"/>
          <w:i w:val="0"/>
        </w:rPr>
        <w:t xml:space="preserve"> Seçili bir yamaç için PGA taranır; ML ve Newmark eşikleri aynı grafikte karşılaştırılır.</w:t>
      </w:r>
    </w:p>
    <w:p>
      <w:pPr>
        <w:pStyle w:val="ListBullet"/>
        <w:spacing w:after="60"/>
      </w:pPr>
      <w:r>
        <w:rPr>
          <w:b/>
          <w:i w:val="0"/>
        </w:rPr>
        <w:t>Harita:</w:t>
      </w:r>
      <w:r>
        <w:rPr>
          <w:b w:val="0"/>
          <w:i w:val="0"/>
        </w:rPr>
        <w:t xml:space="preserve"> Duyarlılık haritası; heyelan poligonları, aktif faylar, 2023 kırılma izleri, AFAD istasyonları; PGV, Vs30, faya uzaklık, arazi örtüsü gibi ek katmanlar; tıklanan noktanın tahmini ve deprem boyunca kayma animasyonu.</w:t>
      </w:r>
    </w:p>
    <w:p>
      <w:pPr>
        <w:pStyle w:val="ListBullet"/>
        <w:spacing w:after="60"/>
      </w:pPr>
      <w:r>
        <w:rPr>
          <w:b/>
          <w:i w:val="0"/>
        </w:rPr>
        <w:t>Sonuçlar:</w:t>
      </w:r>
      <w:r>
        <w:rPr>
          <w:b w:val="0"/>
          <w:i w:val="0"/>
        </w:rPr>
        <w:t xml:space="preserve"> Model karşılaştırması, Kritik PGA belirsizliği, tasarım tablosu, FEM sonuçları ve tüm figürler.</w:t>
      </w:r>
    </w:p>
    <w:p>
      <w:r>
        <w:rPr>
          <w:b w:val="0"/>
          <w:i w:val="0"/>
          <w:color w:val="595959"/>
          <w:sz w:val="20"/>
        </w:rPr>
        <w:t>Çalıştırma: ./run_app.sh → http://localhost:5173 · Tüm analiz: ./run_pipeline.sh</w:t>
      </w:r>
    </w:p>
    <w:p>
      <w:pPr>
        <w:pStyle w:val="Heading1"/>
      </w:pPr>
      <w:r>
        <w:t>7. Sürüm 1’e Göre Yapılan İyileştirmeler</w:t>
      </w:r>
    </w:p>
    <w:tbl>
      <w:tblPr>
        <w:tblStyle w:val="TableGrid"/>
        <w:tblW w:type="auto" w:w="0"/>
        <w:jc w:val="center"/>
        <w:tblLayout w:type="fixed"/>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3167"/>
        <w:gridCol w:w="3167"/>
        <w:gridCol w:w="3167"/>
      </w:tblGrid>
      <w:tr>
        <w:tc>
          <w:tcPr>
            <w:tcW w:type="dxa" w:w="1928"/>
            <w:shd w:val="clear" w:color="auto" w:fill="1F3864"/>
            <w:vAlign w:val="center"/>
          </w:tcPr>
          <w:p>
            <w:pPr>
              <w:spacing w:after="20" w:before="20"/>
            </w:pPr>
            <w:r/>
            <w:r>
              <w:rPr>
                <w:b/>
                <w:color w:val="FFFFFF"/>
                <w:sz w:val="19"/>
              </w:rPr>
              <w:t>Konu</w:t>
            </w:r>
          </w:p>
        </w:tc>
        <w:tc>
          <w:tcPr>
            <w:tcW w:type="dxa" w:w="3515"/>
            <w:shd w:val="clear" w:color="auto" w:fill="1F3864"/>
            <w:vAlign w:val="center"/>
          </w:tcPr>
          <w:p>
            <w:pPr>
              <w:spacing w:after="20" w:before="20"/>
            </w:pPr>
            <w:r/>
            <w:r>
              <w:rPr>
                <w:b/>
                <w:color w:val="FFFFFF"/>
                <w:sz w:val="19"/>
              </w:rPr>
              <w:t>Sürüm 1 (Temmuz 2026)</w:t>
            </w:r>
          </w:p>
        </w:tc>
        <w:tc>
          <w:tcPr>
            <w:tcW w:type="dxa" w:w="4025"/>
            <w:shd w:val="clear" w:color="auto" w:fill="1F3864"/>
            <w:vAlign w:val="center"/>
          </w:tcPr>
          <w:p>
            <w:pPr>
              <w:spacing w:after="20" w:before="20"/>
            </w:pPr>
            <w:r/>
            <w:r>
              <w:rPr>
                <w:b/>
                <w:color w:val="FFFFFF"/>
                <w:sz w:val="19"/>
              </w:rPr>
              <w:t>Sürüm 2 (Ekim 2026)</w:t>
            </w:r>
          </w:p>
        </w:tc>
      </w:tr>
      <w:tr>
        <w:tc>
          <w:tcPr>
            <w:tcW w:type="dxa" w:w="1928"/>
            <w:vAlign w:val="center"/>
          </w:tcPr>
          <w:p>
            <w:pPr>
              <w:spacing w:after="20" w:before="20"/>
            </w:pPr>
            <w:r>
              <w:rPr>
                <w:b w:val="0"/>
                <w:i w:val="0"/>
                <w:sz w:val="19"/>
              </w:rPr>
              <w:t>Değerlendirme</w:t>
            </w:r>
          </w:p>
        </w:tc>
        <w:tc>
          <w:tcPr>
            <w:tcW w:type="dxa" w:w="3515"/>
            <w:vAlign w:val="center"/>
          </w:tcPr>
          <w:p>
            <w:pPr>
              <w:spacing w:after="20" w:before="20"/>
            </w:pPr>
            <w:r>
              <w:rPr>
                <w:b w:val="0"/>
                <w:i w:val="0"/>
                <w:sz w:val="19"/>
              </w:rPr>
              <w:t>Rastgele poligon ayrımı; komşu heyelanlar eğitim ve testte birlikte</w:t>
            </w:r>
          </w:p>
        </w:tc>
        <w:tc>
          <w:tcPr>
            <w:tcW w:type="dxa" w:w="4025"/>
            <w:vAlign w:val="center"/>
          </w:tcPr>
          <w:p>
            <w:pPr>
              <w:spacing w:after="20" w:before="20"/>
            </w:pPr>
            <w:r>
              <w:rPr>
                <w:b w:val="0"/>
                <w:i w:val="0"/>
                <w:sz w:val="19"/>
              </w:rPr>
              <w:t>Mekânsal blok doğrulama (25 km bloklar, 5 kat)</w:t>
            </w:r>
          </w:p>
        </w:tc>
      </w:tr>
      <w:tr>
        <w:tc>
          <w:tcPr>
            <w:tcW w:type="dxa" w:w="1928"/>
            <w:shd w:val="clear" w:color="auto" w:fill="EEF2F8"/>
            <w:vAlign w:val="center"/>
          </w:tcPr>
          <w:p>
            <w:pPr>
              <w:spacing w:after="20" w:before="20"/>
            </w:pPr>
            <w:r>
              <w:rPr>
                <w:b w:val="0"/>
                <w:i w:val="0"/>
                <w:sz w:val="19"/>
              </w:rPr>
              <w:t>ROC-AUC</w:t>
            </w:r>
          </w:p>
        </w:tc>
        <w:tc>
          <w:tcPr>
            <w:tcW w:type="dxa" w:w="3515"/>
            <w:shd w:val="clear" w:color="auto" w:fill="EEF2F8"/>
            <w:vAlign w:val="center"/>
          </w:tcPr>
          <w:p>
            <w:pPr>
              <w:spacing w:after="20" w:before="20"/>
            </w:pPr>
            <w:r>
              <w:rPr>
                <w:b w:val="0"/>
                <w:i w:val="0"/>
                <w:sz w:val="19"/>
              </w:rPr>
              <w:t>0,963 (iyimser)</w:t>
            </w:r>
          </w:p>
        </w:tc>
        <w:tc>
          <w:tcPr>
            <w:tcW w:type="dxa" w:w="4025"/>
            <w:shd w:val="clear" w:color="auto" w:fill="EEF2F8"/>
            <w:vAlign w:val="center"/>
          </w:tcPr>
          <w:p>
            <w:pPr>
              <w:spacing w:after="20" w:before="20"/>
            </w:pPr>
            <w:r>
              <w:rPr>
                <w:b w:val="0"/>
                <w:i w:val="0"/>
                <w:sz w:val="19"/>
              </w:rPr>
              <w:t>0,965 ± 0,013 (katmanlar dahil; katmansız PINN v2 eski yöntemle 0,963)</w:t>
            </w:r>
          </w:p>
        </w:tc>
      </w:tr>
      <w:tr>
        <w:tc>
          <w:tcPr>
            <w:tcW w:type="dxa" w:w="1928"/>
            <w:vAlign w:val="center"/>
          </w:tcPr>
          <w:p>
            <w:pPr>
              <w:spacing w:after="20" w:before="20"/>
            </w:pPr>
            <w:r>
              <w:rPr>
                <w:b w:val="0"/>
                <w:i w:val="0"/>
                <w:sz w:val="19"/>
              </w:rPr>
              <w:t>Fizik kısıtı</w:t>
            </w:r>
          </w:p>
        </w:tc>
        <w:tc>
          <w:tcPr>
            <w:tcW w:type="dxa" w:w="3515"/>
            <w:vAlign w:val="center"/>
          </w:tcPr>
          <w:p>
            <w:pPr>
              <w:spacing w:after="20" w:before="20"/>
            </w:pPr>
            <w:r>
              <w:rPr>
                <w:b w:val="0"/>
                <w:i w:val="0"/>
                <w:sz w:val="19"/>
              </w:rPr>
              <w:t>Yalnız düz/zayıf sarsıntı bölgesinde ceza; pratikte etkisiz</w:t>
            </w:r>
          </w:p>
        </w:tc>
        <w:tc>
          <w:tcPr>
            <w:tcW w:type="dxa" w:w="4025"/>
            <w:vAlign w:val="center"/>
          </w:tcPr>
          <w:p>
            <w:pPr>
              <w:spacing w:after="20" w:before="20"/>
            </w:pPr>
            <w:r>
              <w:rPr>
                <w:b w:val="0"/>
                <w:i w:val="0"/>
                <w:sz w:val="19"/>
              </w:rPr>
              <w:t>Fizik-yolu kısıtı: PGA ve eğim boyunca tutarlılık</w:t>
            </w:r>
          </w:p>
        </w:tc>
      </w:tr>
      <w:tr>
        <w:tc>
          <w:tcPr>
            <w:tcW w:type="dxa" w:w="1928"/>
            <w:shd w:val="clear" w:color="auto" w:fill="EEF2F8"/>
            <w:vAlign w:val="center"/>
          </w:tcPr>
          <w:p>
            <w:pPr>
              <w:spacing w:after="20" w:before="20"/>
            </w:pPr>
            <w:r>
              <w:rPr>
                <w:b w:val="0"/>
                <w:i w:val="0"/>
                <w:sz w:val="19"/>
              </w:rPr>
              <w:t>Fiziksel tutarlılık</w:t>
            </w:r>
          </w:p>
        </w:tc>
        <w:tc>
          <w:tcPr>
            <w:tcW w:type="dxa" w:w="3515"/>
            <w:shd w:val="clear" w:color="auto" w:fill="EEF2F8"/>
            <w:vAlign w:val="center"/>
          </w:tcPr>
          <w:p>
            <w:pPr>
              <w:spacing w:after="20" w:before="20"/>
            </w:pPr>
            <w:r>
              <w:rPr>
                <w:b w:val="0"/>
                <w:i w:val="0"/>
                <w:sz w:val="19"/>
              </w:rPr>
              <w:t>Örneklerin ~%60’ında PGA ↑ → risk ↓</w:t>
            </w:r>
          </w:p>
        </w:tc>
        <w:tc>
          <w:tcPr>
            <w:tcW w:type="dxa" w:w="4025"/>
            <w:shd w:val="clear" w:color="auto" w:fill="EEF2F8"/>
            <w:vAlign w:val="center"/>
          </w:tcPr>
          <w:p>
            <w:pPr>
              <w:spacing w:after="20" w:before="20"/>
            </w:pPr>
            <w:r>
              <w:rPr>
                <w:b w:val="0"/>
                <w:i w:val="0"/>
                <w:sz w:val="19"/>
              </w:rPr>
              <w:t>İhlal %0,0</w:t>
            </w:r>
          </w:p>
        </w:tc>
      </w:tr>
      <w:tr>
        <w:tc>
          <w:tcPr>
            <w:tcW w:type="dxa" w:w="1928"/>
            <w:vAlign w:val="center"/>
          </w:tcPr>
          <w:p>
            <w:pPr>
              <w:spacing w:after="20" w:before="20"/>
            </w:pPr>
            <w:r>
              <w:rPr>
                <w:b w:val="0"/>
                <w:i w:val="0"/>
                <w:sz w:val="19"/>
              </w:rPr>
              <w:t>Kritik PGA</w:t>
            </w:r>
          </w:p>
        </w:tc>
        <w:tc>
          <w:tcPr>
            <w:tcW w:type="dxa" w:w="3515"/>
            <w:vAlign w:val="center"/>
          </w:tcPr>
          <w:p>
            <w:pPr>
              <w:spacing w:after="20" w:before="20"/>
            </w:pPr>
            <w:r>
              <w:rPr>
                <w:b w:val="0"/>
                <w:i w:val="0"/>
                <w:sz w:val="19"/>
              </w:rPr>
              <w:t>≈ 0,55 g, tek sayı; taramada Dₙ sabit kalıyordu</w:t>
            </w:r>
          </w:p>
        </w:tc>
        <w:tc>
          <w:tcPr>
            <w:tcW w:type="dxa" w:w="4025"/>
            <w:vAlign w:val="center"/>
          </w:tcPr>
          <w:p>
            <w:pPr>
              <w:spacing w:after="20" w:before="20"/>
            </w:pPr>
            <w:r>
              <w:rPr>
                <w:b w:val="0"/>
                <w:i w:val="0"/>
                <w:sz w:val="19"/>
              </w:rPr>
              <w:t>0,59 g (0,50–0,80 g), Dₙ her PGA’da yeniden hesaplanıyor</w:t>
            </w:r>
          </w:p>
        </w:tc>
      </w:tr>
      <w:tr>
        <w:tc>
          <w:tcPr>
            <w:tcW w:type="dxa" w:w="1928"/>
            <w:shd w:val="clear" w:color="auto" w:fill="EEF2F8"/>
            <w:vAlign w:val="center"/>
          </w:tcPr>
          <w:p>
            <w:pPr>
              <w:spacing w:after="20" w:before="20"/>
            </w:pPr>
            <w:r>
              <w:rPr>
                <w:b w:val="0"/>
                <w:i w:val="0"/>
                <w:sz w:val="19"/>
              </w:rPr>
              <w:t>Karşılaştırma</w:t>
            </w:r>
          </w:p>
        </w:tc>
        <w:tc>
          <w:tcPr>
            <w:tcW w:type="dxa" w:w="3515"/>
            <w:shd w:val="clear" w:color="auto" w:fill="EEF2F8"/>
            <w:vAlign w:val="center"/>
          </w:tcPr>
          <w:p>
            <w:pPr>
              <w:spacing w:after="20" w:before="20"/>
            </w:pPr>
            <w:r>
              <w:rPr>
                <w:b w:val="0"/>
                <w:i w:val="0"/>
                <w:sz w:val="19"/>
              </w:rPr>
              <w:t>Yok</w:t>
            </w:r>
          </w:p>
        </w:tc>
        <w:tc>
          <w:tcPr>
            <w:tcW w:type="dxa" w:w="4025"/>
            <w:shd w:val="clear" w:color="auto" w:fill="EEF2F8"/>
            <w:vAlign w:val="center"/>
          </w:tcPr>
          <w:p>
            <w:pPr>
              <w:spacing w:after="20" w:before="20"/>
            </w:pPr>
            <w:r>
              <w:rPr>
                <w:b w:val="0"/>
                <w:i w:val="0"/>
                <w:sz w:val="19"/>
              </w:rPr>
              <w:t>9 model (istatistiksel, ağaç tabanlı, sinir ağı, fizik)</w:t>
            </w:r>
          </w:p>
        </w:tc>
      </w:tr>
      <w:tr>
        <w:tc>
          <w:tcPr>
            <w:tcW w:type="dxa" w:w="1928"/>
            <w:vAlign w:val="center"/>
          </w:tcPr>
          <w:p>
            <w:pPr>
              <w:spacing w:after="20" w:before="20"/>
            </w:pPr>
            <w:r>
              <w:rPr>
                <w:b w:val="0"/>
                <w:i w:val="0"/>
                <w:sz w:val="19"/>
              </w:rPr>
              <w:t>FEM</w:t>
            </w:r>
          </w:p>
        </w:tc>
        <w:tc>
          <w:tcPr>
            <w:tcW w:type="dxa" w:w="3515"/>
            <w:vAlign w:val="center"/>
          </w:tcPr>
          <w:p>
            <w:pPr>
              <w:spacing w:after="20" w:before="20"/>
            </w:pPr>
            <w:r>
              <w:rPr>
                <w:b w:val="0"/>
                <w:i w:val="0"/>
                <w:sz w:val="19"/>
              </w:rPr>
              <w:t>Kurulu değildi; konturlar temsiliydi</w:t>
            </w:r>
          </w:p>
        </w:tc>
        <w:tc>
          <w:tcPr>
            <w:tcW w:type="dxa" w:w="4025"/>
            <w:vAlign w:val="center"/>
          </w:tcPr>
          <w:p>
            <w:pPr>
              <w:spacing w:after="20" w:before="20"/>
            </w:pPr>
            <w:r>
              <w:rPr>
                <w:b w:val="0"/>
                <w:i w:val="0"/>
                <w:sz w:val="19"/>
              </w:rPr>
              <w:t>FEM-SSR çözücüsü, literatür kıyasıyla doğrulandı</w:t>
            </w:r>
          </w:p>
        </w:tc>
      </w:tr>
      <w:tr>
        <w:tc>
          <w:tcPr>
            <w:tcW w:type="dxa" w:w="1928"/>
            <w:shd w:val="clear" w:color="auto" w:fill="EEF2F8"/>
            <w:vAlign w:val="center"/>
          </w:tcPr>
          <w:p>
            <w:pPr>
              <w:spacing w:after="20" w:before="20"/>
            </w:pPr>
            <w:r>
              <w:rPr>
                <w:b w:val="0"/>
                <w:i w:val="0"/>
                <w:sz w:val="19"/>
              </w:rPr>
              <w:t>Ampirik doğrulama</w:t>
            </w:r>
          </w:p>
        </w:tc>
        <w:tc>
          <w:tcPr>
            <w:tcW w:type="dxa" w:w="3515"/>
            <w:shd w:val="clear" w:color="auto" w:fill="EEF2F8"/>
            <w:vAlign w:val="center"/>
          </w:tcPr>
          <w:p>
            <w:pPr>
              <w:spacing w:after="20" w:before="20"/>
            </w:pPr>
            <w:r>
              <w:rPr>
                <w:b w:val="0"/>
                <w:i w:val="0"/>
                <w:sz w:val="19"/>
              </w:rPr>
              <w:t>Görsel karşılaştırma</w:t>
            </w:r>
          </w:p>
        </w:tc>
        <w:tc>
          <w:tcPr>
            <w:tcW w:type="dxa" w:w="4025"/>
            <w:shd w:val="clear" w:color="auto" w:fill="EEF2F8"/>
            <w:vAlign w:val="center"/>
          </w:tcPr>
          <w:p>
            <w:pPr>
              <w:spacing w:after="20" w:before="20"/>
            </w:pPr>
            <w:r>
              <w:rPr>
                <w:b w:val="0"/>
                <w:i w:val="0"/>
                <w:sz w:val="19"/>
              </w:rPr>
              <w:t>Sayısal: Spearman ρ = 0,86</w:t>
            </w:r>
          </w:p>
        </w:tc>
      </w:tr>
      <w:tr>
        <w:tc>
          <w:tcPr>
            <w:tcW w:type="dxa" w:w="1928"/>
            <w:vAlign w:val="center"/>
          </w:tcPr>
          <w:p>
            <w:pPr>
              <w:spacing w:after="20" w:before="20"/>
            </w:pPr>
            <w:r>
              <w:rPr>
                <w:b w:val="0"/>
                <w:i w:val="0"/>
                <w:sz w:val="19"/>
              </w:rPr>
              <w:t>Ek veri</w:t>
            </w:r>
          </w:p>
        </w:tc>
        <w:tc>
          <w:tcPr>
            <w:tcW w:type="dxa" w:w="3515"/>
            <w:vAlign w:val="center"/>
          </w:tcPr>
          <w:p>
            <w:pPr>
              <w:spacing w:after="20" w:before="20"/>
            </w:pPr>
            <w:r>
              <w:rPr>
                <w:b w:val="0"/>
                <w:i w:val="0"/>
                <w:sz w:val="19"/>
              </w:rPr>
              <w:t>Eğim, bakı, yükseklik, PGA, litoloji</w:t>
            </w:r>
          </w:p>
        </w:tc>
        <w:tc>
          <w:tcPr>
            <w:tcW w:type="dxa" w:w="4025"/>
            <w:vAlign w:val="center"/>
          </w:tcPr>
          <w:p>
            <w:pPr>
              <w:spacing w:after="20" w:before="20"/>
            </w:pPr>
            <w:r>
              <w:rPr>
                <w:b w:val="0"/>
                <w:i w:val="0"/>
                <w:sz w:val="19"/>
              </w:rPr>
              <w:t>+ pürüzlülük, rölyef, eğrilik, TWI, faya ve dereye uzaklık, Vs30, arazi örtüsü, kil/kum</w:t>
            </w:r>
          </w:p>
        </w:tc>
      </w:tr>
      <w:tr>
        <w:tc>
          <w:tcPr>
            <w:tcW w:type="dxa" w:w="1928"/>
            <w:shd w:val="clear" w:color="auto" w:fill="EEF2F8"/>
            <w:vAlign w:val="center"/>
          </w:tcPr>
          <w:p>
            <w:pPr>
              <w:spacing w:after="20" w:before="20"/>
            </w:pPr>
            <w:r>
              <w:rPr>
                <w:b w:val="0"/>
                <w:i w:val="0"/>
                <w:sz w:val="19"/>
              </w:rPr>
              <w:t>İvme kayıtları</w:t>
            </w:r>
          </w:p>
        </w:tc>
        <w:tc>
          <w:tcPr>
            <w:tcW w:type="dxa" w:w="3515"/>
            <w:shd w:val="clear" w:color="auto" w:fill="EEF2F8"/>
            <w:vAlign w:val="center"/>
          </w:tcPr>
          <w:p>
            <w:pPr>
              <w:spacing w:after="20" w:before="20"/>
            </w:pPr>
            <w:r>
              <w:rPr>
                <w:b w:val="0"/>
                <w:i w:val="0"/>
                <w:sz w:val="19"/>
              </w:rPr>
              <w:t>Yok (sentetik/regresyon)</w:t>
            </w:r>
          </w:p>
        </w:tc>
        <w:tc>
          <w:tcPr>
            <w:tcW w:type="dxa" w:w="4025"/>
            <w:shd w:val="clear" w:color="auto" w:fill="EEF2F8"/>
            <w:vAlign w:val="center"/>
          </w:tcPr>
          <w:p>
            <w:pPr>
              <w:spacing w:after="20" w:before="20"/>
            </w:pPr>
            <w:r>
              <w:rPr>
                <w:b w:val="0"/>
                <w:i w:val="0"/>
                <w:sz w:val="19"/>
              </w:rPr>
              <w:t>136 gerçek AFAD kaydı; poligon bazında kayma simülasyonu</w:t>
            </w:r>
          </w:p>
        </w:tc>
      </w:tr>
      <w:tr>
        <w:tc>
          <w:tcPr>
            <w:tcW w:type="dxa" w:w="1928"/>
            <w:vAlign w:val="center"/>
          </w:tcPr>
          <w:p>
            <w:pPr>
              <w:spacing w:after="20" w:before="20"/>
            </w:pPr>
            <w:r>
              <w:rPr>
                <w:b w:val="0"/>
                <w:i w:val="0"/>
                <w:sz w:val="19"/>
              </w:rPr>
              <w:t>Yeniden üretilebilirlik</w:t>
            </w:r>
          </w:p>
        </w:tc>
        <w:tc>
          <w:tcPr>
            <w:tcW w:type="dxa" w:w="3515"/>
            <w:vAlign w:val="center"/>
          </w:tcPr>
          <w:p>
            <w:pPr>
              <w:spacing w:after="20" w:before="20"/>
            </w:pPr>
            <w:r>
              <w:rPr>
                <w:b w:val="0"/>
                <w:i w:val="0"/>
                <w:sz w:val="19"/>
              </w:rPr>
              <w:t>Metrikler elle girilmişti</w:t>
            </w:r>
          </w:p>
        </w:tc>
        <w:tc>
          <w:tcPr>
            <w:tcW w:type="dxa" w:w="4025"/>
            <w:vAlign w:val="center"/>
          </w:tcPr>
          <w:p>
            <w:pPr>
              <w:spacing w:after="20" w:before="20"/>
            </w:pPr>
            <w:r>
              <w:rPr>
                <w:b w:val="0"/>
                <w:i w:val="0"/>
                <w:sz w:val="19"/>
              </w:rPr>
              <w:t>Tek komutla tüm analiz; 21 otomatik test</w:t>
            </w:r>
          </w:p>
        </w:tc>
      </w:tr>
    </w:tbl>
    <w:p>
      <w:pPr>
        <w:spacing w:after="40"/>
      </w:pPr>
    </w:p>
    <w:p>
      <w:pPr>
        <w:pStyle w:val="Heading1"/>
      </w:pPr>
      <w:r>
        <w:t>8. Bilinen Kısıtlar (Şeffaflık)</w:t>
      </w:r>
    </w:p>
    <w:p>
      <w:r>
        <w:rPr>
          <w:b w:val="0"/>
          <w:i w:val="0"/>
        </w:rPr>
        <w:t>Bilimsel dürüstlük için mevcut kısıtlar açıkça belirtilir:</w:t>
      </w:r>
    </w:p>
    <w:p>
      <w:pPr>
        <w:pStyle w:val="ListBullet"/>
        <w:spacing w:after="60"/>
      </w:pPr>
      <w:r>
        <w:rPr>
          <w:b/>
          <w:i w:val="0"/>
        </w:rPr>
        <w:t>Litoloji bir PROXY’dir:</w:t>
      </w:r>
      <w:r>
        <w:rPr>
          <w:b w:val="0"/>
          <w:i w:val="0"/>
        </w:rPr>
        <w:t xml:space="preserve"> Resmi MTA jeoloji haritası yerine Macrostrat API kullanıldı (~5 km çözünürlük; duyarlılık haritasındaki dikdörtgen bloklar bunun izidir). Ablasyon, proxy’nin ayırma gücünü belirlemediğini gösteriyor (Bölüm 5.9). Dayanım değerleri sınıf ortalamalarıdır. Resmi harita edinilince değiştirilecek; bu, en büyük iyileştirme fırsatıdır.</w:t>
      </w:r>
    </w:p>
    <w:p>
      <w:pPr>
        <w:pStyle w:val="ListBullet"/>
        <w:spacing w:after="60"/>
      </w:pPr>
      <w:r>
        <w:rPr>
          <w:b/>
          <w:i w:val="0"/>
        </w:rPr>
        <w:t>Kritik PGA (P = 0,5) örnekleme tasarımına bağlıdır:</w:t>
      </w:r>
      <w:r>
        <w:rPr>
          <w:b w:val="0"/>
          <w:i w:val="0"/>
        </w:rPr>
        <w:t xml:space="preserve"> Değer belirsizlik aralığıyla ve duyarlılık analiziyle birlikte verilmiştir (Bölüm 4).</w:t>
      </w:r>
    </w:p>
    <w:p>
      <w:pPr>
        <w:pStyle w:val="ListBullet"/>
        <w:spacing w:after="60"/>
      </w:pPr>
      <w:r>
        <w:rPr>
          <w:b/>
          <w:i w:val="0"/>
        </w:rPr>
        <w:t>FEM 2B idealize kesittir:</w:t>
      </w:r>
      <w:r>
        <w:rPr>
          <w:b w:val="0"/>
          <w:i w:val="0"/>
        </w:rPr>
        <w:t xml:space="preserve"> Gerçek pilot topoğrafyası ve dinamik (zaman-tanım) analiz değil, psödo-statik yükleme kullanılmıştır.</w:t>
      </w:r>
    </w:p>
    <w:p>
      <w:pPr>
        <w:pStyle w:val="ListBullet"/>
        <w:spacing w:after="60"/>
      </w:pPr>
      <w:r>
        <w:rPr>
          <w:b/>
          <w:i w:val="0"/>
        </w:rPr>
        <w:t>Newmark rijit-blok basitleştirmesi:</w:t>
      </w:r>
      <w:r>
        <w:rPr>
          <w:b w:val="0"/>
          <w:i w:val="0"/>
        </w:rPr>
        <w:t xml:space="preserve"> Fizik eğrisi gerçek tetiklenmeyi az tahmin eder; ML bunu telafi eder.</w:t>
      </w:r>
    </w:p>
    <w:p>
      <w:pPr>
        <w:pStyle w:val="ListBullet"/>
        <w:spacing w:after="60"/>
      </w:pPr>
      <w:r>
        <w:rPr>
          <w:b/>
          <w:i w:val="0"/>
        </w:rPr>
        <w:t>Tek deprem:</w:t>
      </w:r>
      <w:r>
        <w:rPr>
          <w:b w:val="0"/>
          <w:i w:val="0"/>
        </w:rPr>
        <w:t xml:space="preserve"> Model Kahramanmaraş 2023 verisiyle eğitildi; Wenchuan 2008 karşılaştırması yalnızca fizik denklemlerinin aktarımıdır.</w:t>
      </w:r>
    </w:p>
    <w:p/>
    <w:tbl>
      <w:tblPr>
        <w:tblW w:type="auto" w:w="0"/>
        <w:jc w:val="center"/>
        <w:tblLook w:firstColumn="1" w:firstRow="1" w:lastColumn="0" w:lastRow="0" w:noHBand="0" w:noVBand="1" w:val="04A0"/>
        <w:tblBorders>
          <w:top w:val="single" w:sz="4" w:color="C9CED6"/>
          <w:left w:val="single" w:sz="4" w:color="C9CED6"/>
          <w:bottom w:val="single" w:sz="4" w:color="C9CED6"/>
          <w:right w:val="single" w:sz="4" w:color="C9CED6"/>
          <w:insideH w:val="single" w:sz="4" w:color="C9CED6"/>
          <w:insideV w:val="single" w:sz="4" w:color="C9CED6"/>
        </w:tblBorders>
      </w:tblPr>
      <w:tblGrid>
        <w:gridCol w:w="9502"/>
      </w:tblGrid>
      <w:tr>
        <w:tc>
          <w:tcPr>
            <w:tcW w:type="dxa" w:w="9468"/>
            <w:shd w:val="clear" w:color="auto" w:fill="FDF3E7"/>
          </w:tcPr>
          <w:p>
            <w:r>
              <w:rPr>
                <w:b/>
                <w:color w:val="C0392B"/>
                <w:sz w:val="20"/>
              </w:rPr>
              <w:t xml:space="preserve">Özet: </w:t>
            </w:r>
            <w:r>
              <w:rPr>
                <w:b w:val="0"/>
                <w:i w:val="0"/>
                <w:sz w:val="20"/>
              </w:rPr>
              <w:t>Gerçek verilerle beslenen, fizik + yapay zekâ hibrit bir dijital ikiz; eğitimde görmediği bölgelerde ROC-AUC 0,965 başarımla ve fiziksel olarak tutarlı biçimde, dik yamaçların ≈ 0,59 g PGA’da (belirsizlik 0,50–0,80 g) heyelan sınıfına geçtiğini; heyelan lehine başlangıcın ise ≈ 0,08 g olduğunu ortaya koyar.</w:t>
            </w:r>
          </w:p>
        </w:tc>
      </w:tr>
    </w:tbl>
    <w:p>
      <w:pPr>
        <w:spacing w:after="40"/>
      </w:pPr>
    </w:p>
    <w:p>
      <w:pPr>
        <w:pStyle w:val="Heading1"/>
      </w:pPr>
      <w:r>
        <w:t>Kaynaklar</w:t>
      </w:r>
    </w:p>
    <w:p>
      <w:pPr>
        <w:spacing w:after="60"/>
        <w:ind w:left="340" w:hanging="340"/>
      </w:pPr>
      <w:r>
        <w:rPr>
          <w:b w:val="0"/>
          <w:i w:val="0"/>
          <w:sz w:val="19"/>
        </w:rPr>
        <w:t>Kocaman S., Çetinkaya S., Tunar Özcan N., Karakaş G., Karakaş V.E., Gökçeoğlu C. (2025). Landslides triggered by the 6 February 2023 Kahramanmaraş earthquakes (Türkiye). Turkish Journal of Earth Sciences 34(1): 47–67. https://doi.org/10.55730/1300-0985.1945</w:t>
      </w:r>
    </w:p>
    <w:p>
      <w:pPr>
        <w:spacing w:after="60"/>
        <w:ind w:left="340" w:hanging="340"/>
      </w:pPr>
      <w:r>
        <w:rPr>
          <w:b w:val="0"/>
          <w:i w:val="0"/>
          <w:sz w:val="19"/>
        </w:rPr>
        <w:t>Li L., Tang B., Cai F., Wei L., Zhu X., Fan D. (2026). Digital Twin Modeling for Landslide Risk Scenarios in Mountainous Regions. Sensors 26: 421. https://doi.org/10.3390/s26020421</w:t>
      </w:r>
    </w:p>
    <w:p>
      <w:pPr>
        <w:spacing w:after="60"/>
        <w:ind w:left="340" w:hanging="340"/>
      </w:pPr>
      <w:r>
        <w:rPr>
          <w:b w:val="0"/>
          <w:i w:val="0"/>
          <w:sz w:val="19"/>
        </w:rPr>
        <w:t>Newmark N.M. (1965). Effects of earthquakes on dams and embankments. Géotechnique 15(2): 139–160.</w:t>
      </w:r>
    </w:p>
    <w:p>
      <w:pPr>
        <w:spacing w:after="60"/>
        <w:ind w:left="340" w:hanging="340"/>
      </w:pPr>
      <w:r>
        <w:rPr>
          <w:b w:val="0"/>
          <w:i w:val="0"/>
          <w:sz w:val="19"/>
        </w:rPr>
        <w:t>Jibson R.W. (1993). Predicting earthquake-induced landslide displacements using Newmark’s sliding block analysis. Transportation Research Record 1411: 9–17.</w:t>
      </w:r>
    </w:p>
    <w:p>
      <w:pPr>
        <w:spacing w:after="60"/>
        <w:ind w:left="340" w:hanging="340"/>
      </w:pPr>
      <w:r>
        <w:rPr>
          <w:b w:val="0"/>
          <w:i w:val="0"/>
          <w:sz w:val="19"/>
        </w:rPr>
        <w:t>Jibson R.W. (2007). Regression models for estimating coseismic landslide displacement. Engineering Geology 91: 209–218.</w:t>
      </w:r>
    </w:p>
    <w:p>
      <w:pPr>
        <w:spacing w:after="60"/>
        <w:ind w:left="340" w:hanging="340"/>
      </w:pPr>
      <w:r>
        <w:rPr>
          <w:b w:val="0"/>
          <w:i w:val="0"/>
          <w:sz w:val="19"/>
        </w:rPr>
        <w:t>Griffiths D.V., Lane P.A. (1999). Slope stability analysis by finite elements. Géotechnique 49(3): 387–403.</w:t>
      </w:r>
    </w:p>
    <w:p>
      <w:pPr>
        <w:spacing w:after="60"/>
        <w:ind w:left="340" w:hanging="340"/>
      </w:pPr>
      <w:r>
        <w:rPr>
          <w:b w:val="0"/>
          <w:i w:val="0"/>
          <w:sz w:val="19"/>
        </w:rPr>
        <w:t>Raissi M., Perdikaris P., Karniadakis G.E. (2019). Physics-informed neural networks. Journal of Computational Physics 378: 686–707.</w:t>
      </w:r>
    </w:p>
    <w:p>
      <w:pPr>
        <w:spacing w:after="60"/>
        <w:ind w:left="340" w:hanging="340"/>
      </w:pPr>
      <w:r>
        <w:rPr>
          <w:b w:val="0"/>
          <w:i w:val="0"/>
          <w:sz w:val="19"/>
        </w:rPr>
        <w:t>Roberts D.R. ve ark. (2017). Cross-validation strategies for data with temporal, spatial, hierarchical, or phylogenetic structure. Ecography 40: 913–929.</w:t>
      </w:r>
    </w:p>
    <w:p>
      <w:pPr>
        <w:spacing w:after="60"/>
        <w:ind w:left="340" w:hanging="340"/>
      </w:pPr>
      <w:r>
        <w:rPr>
          <w:b w:val="0"/>
          <w:i w:val="0"/>
          <w:sz w:val="19"/>
        </w:rPr>
        <w:t>Luzi L. ve ark. Engineering Strong Motion Database (ESM), v3.0. INGV. https://doi.org/10.13127/esm.3 — AFAD Türkiye Ulusal Kuvvetli Yer Hareketi Ağı, https://doi.org/10.7914/SN/TK</w:t>
      </w:r>
    </w:p>
    <w:p>
      <w:pPr>
        <w:spacing w:after="60"/>
        <w:ind w:left="340" w:hanging="340"/>
      </w:pPr>
      <w:r>
        <w:rPr>
          <w:b w:val="0"/>
          <w:i w:val="0"/>
          <w:sz w:val="19"/>
        </w:rPr>
        <w:t>Styron R., Pagani M. (2020). The GEM Global Active Faults Database. Earthquake Spectra 36(S1): 160–180.</w:t>
      </w:r>
    </w:p>
    <w:p>
      <w:pPr>
        <w:spacing w:after="60"/>
        <w:ind w:left="340" w:hanging="340"/>
      </w:pPr>
      <w:r>
        <w:rPr>
          <w:b w:val="0"/>
          <w:i w:val="0"/>
          <w:sz w:val="19"/>
        </w:rPr>
        <w:t>Zanaga D. ve ark. (2022). ESA WorldCover 10 m 2021 v200. https://doi.org/10.5281/zenodo.7254221</w:t>
      </w:r>
    </w:p>
    <w:p>
      <w:pPr>
        <w:spacing w:after="60"/>
        <w:ind w:left="340" w:hanging="340"/>
      </w:pPr>
      <w:r>
        <w:rPr>
          <w:b w:val="0"/>
          <w:i w:val="0"/>
          <w:sz w:val="19"/>
        </w:rPr>
        <w:t>Poggio L. ve ark. (2021). SoilGrids 2.0. SOIL 7: 217–240.</w:t>
      </w:r>
    </w:p>
    <w:p>
      <w:pPr>
        <w:spacing w:after="60"/>
        <w:ind w:left="340" w:hanging="340"/>
      </w:pPr>
      <w:r>
        <w:rPr>
          <w:b w:val="0"/>
          <w:i w:val="0"/>
          <w:sz w:val="19"/>
        </w:rPr>
        <w:t>Peters S.E., Husson J.M., Czaplewski J. (2018). Macrostrat. Geochemistry, Geophysics, Geosystems 19: 1393–1409.</w:t>
      </w:r>
    </w:p>
    <w:p>
      <w:pPr>
        <w:spacing w:after="60"/>
        <w:ind w:left="340" w:hanging="340"/>
      </w:pPr>
      <w:r>
        <w:rPr>
          <w:b w:val="0"/>
          <w:i w:val="0"/>
          <w:sz w:val="19"/>
        </w:rPr>
        <w:t>Iverson R.M. (2000). Landslide triggering by rain infiltration. Water Resources Research 36(7): 1897–1910.</w:t>
      </w:r>
    </w:p>
    <w:p>
      <w:pPr>
        <w:spacing w:after="60"/>
        <w:ind w:left="340" w:hanging="340"/>
      </w:pPr>
      <w:r>
        <w:rPr>
          <w:b w:val="0"/>
          <w:i w:val="0"/>
          <w:sz w:val="19"/>
        </w:rPr>
        <w:t>Muñoz-Sabater J. ve ark. (2021). ERA5-Land: a state-of-the-art global reanalysis dataset for land applications. Earth System Science Data 13: 4349–4383.</w:t>
      </w:r>
    </w:p>
    <w:p>
      <w:pPr>
        <w:spacing w:after="60"/>
        <w:ind w:left="340" w:hanging="340"/>
      </w:pPr>
      <w:r>
        <w:rPr>
          <w:b w:val="0"/>
          <w:i w:val="0"/>
          <w:sz w:val="19"/>
        </w:rPr>
        <w:t>Elkan C., Noto K. (2008). Learning classifiers from only positive and unlabeled data. KDD 2008: 213–220.</w:t>
      </w:r>
    </w:p>
    <w:sectPr w:rsidR="00FC693F" w:rsidRPr="0006063C" w:rsidSect="00034616">
      <w:footerReference w:type="default" r:id="rId20"/>
      <w:pgSz w:w="11906" w:h="16838"/>
      <w:pgMar w:top="1202" w:right="1202" w:bottom="1202" w:left="120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Heyelan Dijital Twin · Teknik Özet Raporu v2 · Sayfa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2C7F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Fizik Tabanlı Dijital Twin — Teknik Özet Raporu v2</dc:title>
  <dc:subject/>
  <dc:creator>Zeynep Ersöz</dc:creator>
  <cp:keywords/>
  <dc:description/>
  <cp:lastModifiedBy>Zeynep Ersöz</cp:lastModifiedBy>
  <cp:revision>1</cp:revision>
  <dcterms:created xsi:type="dcterms:W3CDTF">2013-12-23T23:15:00Z</dcterms:created>
  <dcterms:modified xsi:type="dcterms:W3CDTF">2013-12-23T23:15:00Z</dcterms:modified>
  <cp:category/>
</cp:coreProperties>
</file>