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b w:val="0"/>
          <w:i w:val="0"/>
        </w:rPr>
        <w:t>ViMove</w:t>
      </w:r>
    </w:p>
    <w:p>
      <w:pPr>
        <w:spacing w:after="40"/>
        <w:jc w:val="center"/>
      </w:pPr>
      <w:r>
        <w:rPr>
          <w:b/>
          <w:i w:val="0"/>
          <w:color w:val="0D9488"/>
          <w:sz w:val="30"/>
        </w:rPr>
        <w:t>Yapay Zekâ Destekli Evde Hareket Terapisi</w:t>
      </w:r>
    </w:p>
    <w:p>
      <w:pPr>
        <w:spacing w:after="360"/>
        <w:jc w:val="center"/>
      </w:pPr>
      <w:r>
        <w:rPr>
          <w:b w:val="0"/>
          <w:i/>
          <w:color w:val="555555"/>
          <w:sz w:val="26"/>
        </w:rPr>
        <w:t>Araştırma Raporu ve Teknik Dokümantasyon</w:t>
      </w:r>
    </w:p>
    <w:p>
      <w:pPr>
        <w:pBdr>
          <w:bottom w:val="single" w:sz="6" w:space="1" w:color="0D9488"/>
        </w:pBdr>
        <w:spacing w:after="80"/>
      </w:pPr>
    </w:p>
    <w:p>
      <w:pPr>
        <w:spacing w:after="480"/>
        <w:jc w:val="center"/>
      </w:pPr>
      <w:r>
        <w:rPr>
          <w:b w:val="0"/>
          <w:i w:val="0"/>
          <w:color w:val="102A2A"/>
          <w:sz w:val="24"/>
        </w:rPr>
        <w:t>Herhangi bir web kamerasını, yaşlılar ve kronik hastalar için kişiye özel bir fizyoterapi asistanına dönüştüren, tarayıcıda çalışan ücretsiz bir yapay zekâ uygulaması.</w:t>
      </w:r>
    </w:p>
    <w:p>
      <w:pPr>
        <w:spacing w:after="800"/>
        <w:jc w:val="center"/>
      </w:pPr>
      <w:r>
        <w:rPr>
          <w:b/>
          <w:i w:val="0"/>
          <w:color w:val="0D9488"/>
          <w:sz w:val="26"/>
        </w:rPr>
        <w:t>vimoveai.com</w:t>
      </w:r>
    </w:p>
    <w:tbl>
      <w:tblPr>
        <w:tblW w:type="auto" w:w="0"/>
        <w:jc w:val="center"/>
        <w:tblLook w:firstColumn="1" w:firstRow="1" w:lastColumn="0" w:lastRow="0" w:noHBand="0" w:noVBand="1" w:val="04A0"/>
      </w:tblPr>
      <w:tblGrid>
        <w:gridCol w:w="4320"/>
        <w:gridCol w:w="4320"/>
      </w:tblGrid>
      <w:tr>
        <w:tc>
          <w:tcPr>
            <w:tcW w:type="dxa" w:w="2304"/>
          </w:tcPr>
          <w:p>
            <w:r/>
            <w:r>
              <w:rPr>
                <w:b/>
                <w:color w:val="0D9488"/>
                <w:sz w:val="21"/>
              </w:rPr>
              <w:t>Proje</w:t>
            </w:r>
          </w:p>
        </w:tc>
        <w:tc>
          <w:tcPr>
            <w:tcW w:type="dxa" w:w="6048"/>
          </w:tcPr>
          <w:p>
            <w:r/>
            <w:r>
              <w:rPr>
                <w:sz w:val="21"/>
              </w:rPr>
              <w:t>ViMove — AI-Guided Movement Therapy</w:t>
            </w:r>
          </w:p>
        </w:tc>
      </w:tr>
      <w:tr>
        <w:tc>
          <w:tcPr>
            <w:tcW w:type="dxa" w:w="2304"/>
          </w:tcPr>
          <w:p>
            <w:r/>
            <w:r>
              <w:rPr>
                <w:b/>
                <w:color w:val="0D9488"/>
                <w:sz w:val="21"/>
              </w:rPr>
              <w:t>Ekip</w:t>
            </w:r>
          </w:p>
        </w:tc>
        <w:tc>
          <w:tcPr>
            <w:tcW w:type="dxa" w:w="6048"/>
          </w:tcPr>
          <w:p>
            <w:r/>
            <w:r>
              <w:rPr>
                <w:sz w:val="21"/>
              </w:rPr>
              <w:t>Erdem Ertan · Oğuz Çetinkaya (Lise Öğrencileri)</w:t>
            </w:r>
          </w:p>
        </w:tc>
      </w:tr>
      <w:tr>
        <w:tc>
          <w:tcPr>
            <w:tcW w:type="dxa" w:w="2304"/>
          </w:tcPr>
          <w:p>
            <w:r/>
            <w:r>
              <w:rPr>
                <w:b/>
                <w:color w:val="0D9488"/>
                <w:sz w:val="21"/>
              </w:rPr>
              <w:t>Kapsam</w:t>
            </w:r>
          </w:p>
        </w:tc>
        <w:tc>
          <w:tcPr>
            <w:tcW w:type="dxa" w:w="6048"/>
          </w:tcPr>
          <w:p>
            <w:r/>
            <w:r>
              <w:rPr>
                <w:sz w:val="21"/>
              </w:rPr>
              <w:t>Samsung Solve for Tomorrow</w:t>
            </w:r>
          </w:p>
        </w:tc>
      </w:tr>
      <w:tr>
        <w:tc>
          <w:tcPr>
            <w:tcW w:type="dxa" w:w="2304"/>
          </w:tcPr>
          <w:p>
            <w:r/>
            <w:r>
              <w:rPr>
                <w:b/>
                <w:color w:val="0D9488"/>
                <w:sz w:val="21"/>
              </w:rPr>
              <w:t>Sürüm / Tarih</w:t>
            </w:r>
          </w:p>
        </w:tc>
        <w:tc>
          <w:tcPr>
            <w:tcW w:type="dxa" w:w="6048"/>
          </w:tcPr>
          <w:p>
            <w:r/>
            <w:r>
              <w:rPr>
                <w:sz w:val="21"/>
              </w:rPr>
              <w:t>v2.0 · Haziran 2026</w:t>
            </w:r>
          </w:p>
        </w:tc>
      </w:tr>
    </w:tbl>
    <w:p/>
    <w:p>
      <w:pPr>
        <w:jc w:val="center"/>
      </w:pPr>
      <w:r>
        <w:rPr>
          <w:b w:val="0"/>
          <w:i/>
          <w:color w:val="555555"/>
          <w:sz w:val="17"/>
        </w:rPr>
        <w:t>Tıbbi sorumluluk reddi: ViMove yardımcı bir hareket-takip aracı ve bir öğrenci araştırma projesidir; tıbbi bir cihaz değildir, teşhis veya tedavi sağlamaz. Herhangi bir egzersiz programına başlamadan önce mutlaka bir sağlık profesyoluna danışınız.</w:t>
      </w:r>
    </w:p>
    <w:p>
      <w:r>
        <w:br w:type="page"/>
      </w:r>
    </w:p>
    <w:p>
      <w:pPr>
        <w:pStyle w:val="Heading1"/>
      </w:pPr>
      <w:r>
        <w:rPr>
          <w:b w:val="0"/>
          <w:i w:val="0"/>
        </w:rPr>
        <w:t>İçindekiler</w:t>
      </w:r>
    </w:p>
    <w:p>
      <w:r/>
      <w:fldSimple w:instr="TOC \o &quot;1-3&quot; \h \z \u">
        <w:r>
          <w:t xml:space="preserve">İçindekiler tablosu — Word'de güncellemek için: tabloya sağ tıkla › Alanı Güncelle › Tüm tabloyu güncelle.</w:t>
        </w:r>
      </w:fldSimple>
    </w:p>
    <w:p>
      <w:r>
        <w:br w:type="page"/>
      </w:r>
    </w:p>
    <w:p>
      <w:pPr>
        <w:pStyle w:val="Heading1"/>
      </w:pPr>
      <w:r>
        <w:rPr>
          <w:b w:val="0"/>
          <w:i w:val="0"/>
        </w:rPr>
        <w:t>Yönetici Özeti</w:t>
      </w:r>
    </w:p>
    <w:p>
      <w:r>
        <w:rPr>
          <w:b w:val="0"/>
          <w:i w:val="0"/>
        </w:rPr>
        <w:t>ViMove, fizyoterapinin önündeki en büyük engellerden birini — düzenli kliniğe erişimin zorluğunu — ortadan kaldırmak için geliştirilmiş, tarayıcıda çalışan yapay zekâ destekli bir hareket terapisi uygulamasıdır. Kullanıcının yaşı, cinsiyeti ve sağlık durumu temel alınarak klinik kılavuzlara dayalı, kişiye özel bir egzersiz programı oluşturulur; ardından sıradan bir web kamerası kullanılarak, tamamen cihaz üzerinde çalışan bir bilgisayarlı görü motoru her hareketi gerçek zamanlı izler, formu doğrular ve tekrarları otomatik sayar.</w:t>
      </w:r>
    </w:p>
    <w:p>
      <w:r>
        <w:rPr>
          <w:b w:val="0"/>
          <w:i w:val="0"/>
        </w:rPr>
        <w:t>Dünya Sağlık Örgütü verilerine göre bugün yaklaşık 2,4 milyar insan rehabilitasyondan fayda görecek bir sağlık durumuyla yaşamakta; düşük ve orta gelirli ülkelerde bu kişilerin yarısından fazlası hizmete erişememektedir. ViMove, kurulum gerektirmeyen, ücretsiz ve gizliliği koruyan yapısıyla bu erişim açığını doğrudan hedefler. Çözüm, 65 yaş üstü bireylerle saha testinden geçirilmiş; Akdeniz Üniversitesi Gerontoloji Fakültesi ve Türkiye Parkinson Hastalığı Derneği gibi alanın yetkin kurumları tarafından değerlendirilmiş ve takdir görmüştür.</w:t>
      </w:r>
    </w:p>
    <w:p>
      <w:r>
        <w:rPr>
          <w:b w:val="0"/>
          <w:i/>
          <w:color w:val="555555"/>
        </w:rPr>
        <w:t>Bu doküman; projenin vizyonunu, çözdüğü problemi, klinik temelini, ayrıntılı teknik mimarisini ve saha değerlendirmelerini bütüncül biçimde sunar.</w:t>
      </w:r>
    </w:p>
    <w:p>
      <w:r>
        <w:br w:type="page"/>
      </w:r>
    </w:p>
    <w:p>
      <w:pPr>
        <w:pStyle w:val="Heading1"/>
      </w:pPr>
      <w:r>
        <w:rPr>
          <w:b w:val="0"/>
          <w:i w:val="0"/>
        </w:rPr>
        <w:t>1. Giriş</w:t>
      </w:r>
    </w:p>
    <w:p>
      <w:r>
        <w:rPr>
          <w:b w:val="0"/>
          <w:i w:val="0"/>
        </w:rPr>
        <w:t>Fizyoterapi ve düzenli egzersiz; Parkinson, inme sonrası rehabilitasyon, osteoartrit ve düşme önleme gibi pek çok durumun yönetiminde kanıta dayalı, temel bir bileşendir. Ne var ki bu tedavilerin etkili olabilmesi düzenliliğe — yani tedaviye uyuma (adherence) — bağlıdır. Yaşlı bireyler için ulaşım güçlüğü, randevu yoğunluğu, maliyet ve uzman erişimi, egzersizlerin düzenli sürdürülmesinin önündeki başlıca engellerdir. Sonuç olarak, kliniklerde öğretilen egzersizler evde çoğu zaman yanlış, eksik ya da hiç yapılmaz.</w:t>
      </w:r>
    </w:p>
    <w:p>
      <w:r>
        <w:rPr>
          <w:b w:val="0"/>
          <w:i w:val="0"/>
        </w:rPr>
        <w:t>ViMove bu boşluğu, bireyin evindeki sıradan bir kamerayı denetimli bir egzersiz ortamına dönüştürerek doldurur. Hiçbir özel donanım, uygulama mağazası ya da teknik bilgi gerektirmez: Bir web sayfası açabilen herkes ViMove'u kullanabilir. Bu rapor, projenin neden gerekli olduğunu, nasıl tasarlandığını ve gerçek dünyada nasıl doğrulandığını ayrıntılı biçimde ortaya koyar.</w:t>
      </w:r>
    </w:p>
    <w:p>
      <w:pPr>
        <w:pStyle w:val="Heading1"/>
      </w:pPr>
      <w:r>
        <w:rPr>
          <w:b w:val="0"/>
          <w:i w:val="0"/>
        </w:rPr>
        <w:t>2. Vizyon ve Misyon</w:t>
      </w:r>
    </w:p>
    <w:p>
      <w:pPr>
        <w:pStyle w:val="Heading2"/>
      </w:pPr>
      <w:r>
        <w:rPr>
          <w:b w:val="0"/>
          <w:i w:val="0"/>
        </w:rPr>
        <w:t>2.1 Vizyon</w:t>
      </w:r>
    </w:p>
    <w:p>
      <w:r>
        <w:rPr>
          <w:b w:val="0"/>
          <w:i w:val="0"/>
        </w:rPr>
        <w:t>Coğrafyadan, gelirden ve fiziksel erişimden bağımsız olarak, kanıta dayalı hareket terapisinin ihtiyacı olan herkesin evine ulaştığı bir dünya. ViMove, rehabilitasyonu bir randevuya değil, günlük yaşamın doğal bir parçasına dönüştürmeyi amaçlar.</w:t>
      </w:r>
    </w:p>
    <w:p>
      <w:pPr>
        <w:pStyle w:val="Heading2"/>
      </w:pPr>
      <w:r>
        <w:rPr>
          <w:b w:val="0"/>
          <w:i w:val="0"/>
        </w:rPr>
        <w:t>2.2 Misyon</w:t>
      </w:r>
    </w:p>
    <w:p>
      <w:r>
        <w:rPr>
          <w:b w:val="0"/>
          <w:i w:val="0"/>
        </w:rPr>
        <w:t>Yapay zekâ ve bilgisayarlı görüyü, yaşlı bireyler ve kronik hastalar için bile sade ve erişilebilir kalacak biçimde kullanarak; kişiye özel, klinik temelli ve gizliliği koruyan bir egzersiz deneyimini ücretsiz sunmak. Teknolojiyi bir engel değil, bir köprü hâline getirmek.</w:t>
      </w:r>
    </w:p>
    <w:p>
      <w:pPr>
        <w:pStyle w:val="Heading2"/>
      </w:pPr>
      <w:r>
        <w:rPr>
          <w:b w:val="0"/>
          <w:i w:val="0"/>
        </w:rPr>
        <w:t>2.3 Temel İlkeler</w:t>
      </w:r>
    </w:p>
    <w:p>
      <w:pPr>
        <w:pStyle w:val="ListBullet"/>
      </w:pPr>
      <w:r>
        <w:rPr>
          <w:b/>
          <w:sz w:val="22"/>
        </w:rPr>
        <w:t xml:space="preserve">Erişilebilirlik. </w:t>
      </w:r>
      <w:r>
        <w:rPr>
          <w:sz w:val="22"/>
        </w:rPr>
        <w:t xml:space="preserve"> Klinik seans, uygulama mağazası ya da özel donanım yok; bir tarayıcı ve kamera yeterli.</w:t>
      </w:r>
    </w:p>
    <w:p>
      <w:pPr>
        <w:pStyle w:val="ListBullet"/>
      </w:pPr>
      <w:r>
        <w:rPr>
          <w:b/>
          <w:sz w:val="22"/>
        </w:rPr>
        <w:t xml:space="preserve">Gizlilik. </w:t>
      </w:r>
      <w:r>
        <w:rPr>
          <w:sz w:val="22"/>
        </w:rPr>
        <w:t xml:space="preserve"> Tüm yapay zekâ işlemleri cihazda çalışır; kamera görüntüsü cihazı asla terk etmez.</w:t>
      </w:r>
    </w:p>
    <w:p>
      <w:pPr>
        <w:pStyle w:val="ListBullet"/>
      </w:pPr>
      <w:r>
        <w:rPr>
          <w:b/>
          <w:sz w:val="22"/>
        </w:rPr>
        <w:t xml:space="preserve">Kanıt temelliliği. </w:t>
      </w:r>
      <w:r>
        <w:rPr>
          <w:sz w:val="22"/>
        </w:rPr>
        <w:t xml:space="preserve"> Egzersiz seçimi ve dozajı yayımlanmış klinik kılavuzlara dayanır.</w:t>
      </w:r>
    </w:p>
    <w:p>
      <w:pPr>
        <w:pStyle w:val="ListBullet"/>
      </w:pPr>
      <w:r>
        <w:rPr>
          <w:b/>
          <w:sz w:val="22"/>
        </w:rPr>
        <w:t xml:space="preserve">Kapsayıcılık. </w:t>
      </w:r>
      <w:r>
        <w:rPr>
          <w:sz w:val="22"/>
        </w:rPr>
        <w:t xml:space="preserve"> Büyük yazı, yüksek kontrast, sesli yönlendirme — görme engelli ve titremesi olan kullanıcılar dâhil.</w:t>
      </w:r>
    </w:p>
    <w:p>
      <w:r>
        <w:br w:type="page"/>
      </w:r>
    </w:p>
    <w:p>
      <w:pPr>
        <w:pStyle w:val="Heading1"/>
      </w:pPr>
      <w:r>
        <w:rPr>
          <w:b w:val="0"/>
          <w:i w:val="0"/>
        </w:rPr>
        <w:t>3. Problem Tanımı ve Hedef Kitle</w:t>
      </w:r>
    </w:p>
    <w:p>
      <w:r>
        <w:rPr>
          <w:b w:val="0"/>
          <w:i w:val="0"/>
        </w:rPr>
        <w:t>Problem, tek cümleyle şöyledir: Fizyoterapi işe yarar, ancak ihtiyaç duyan milyonlarca insan ona düzenli olarak erişemez. Aşağıdaki doğrulanmış küresel veriler, sorunun ve hedef kitlenin ölçeğini ortaya koyar.</w:t>
      </w:r>
    </w:p>
    <w:tbl>
      <w:tblPr>
        <w:tblStyle w:val="TableGrid"/>
        <w:tblW w:type="auto" w:w="0"/>
        <w:jc w:val="center"/>
        <w:tblLook w:firstColumn="1" w:firstRow="1" w:lastColumn="0" w:lastRow="0" w:noHBand="0" w:noVBand="1" w:val="04A0"/>
      </w:tblPr>
      <w:tblGrid>
        <w:gridCol w:w="2880"/>
        <w:gridCol w:w="2880"/>
        <w:gridCol w:w="2880"/>
      </w:tblGrid>
      <w:tr>
        <w:tc>
          <w:tcPr>
            <w:tcW w:type="dxa" w:w="4176"/>
            <w:vAlign w:val="center"/>
            <w:shd w:val="clear" w:fill="0D9488"/>
          </w:tcPr>
          <w:p>
            <w:pPr>
              <w:spacing w:after="40" w:before="40"/>
            </w:pPr>
            <w:r>
              <w:rPr>
                <w:b/>
                <w:color w:val="FFFFFF"/>
                <w:sz w:val="20"/>
              </w:rPr>
            </w:r>
            <w:r>
              <w:rPr>
                <w:b/>
                <w:color w:val="FFFFFF"/>
                <w:sz w:val="20"/>
              </w:rPr>
              <w:t>Gösterge</w:t>
            </w:r>
          </w:p>
        </w:tc>
        <w:tc>
          <w:tcPr>
            <w:tcW w:type="dxa" w:w="3456"/>
            <w:vAlign w:val="center"/>
            <w:shd w:val="clear" w:fill="0D9488"/>
          </w:tcPr>
          <w:p>
            <w:pPr>
              <w:spacing w:after="40" w:before="40"/>
            </w:pPr>
            <w:r>
              <w:rPr>
                <w:b/>
                <w:color w:val="FFFFFF"/>
                <w:sz w:val="20"/>
              </w:rPr>
            </w:r>
            <w:r>
              <w:rPr>
                <w:b/>
                <w:color w:val="FFFFFF"/>
                <w:sz w:val="20"/>
              </w:rPr>
              <w:t>Değer</w:t>
            </w:r>
          </w:p>
        </w:tc>
        <w:tc>
          <w:tcPr>
            <w:tcW w:type="dxa" w:w="2160"/>
            <w:vAlign w:val="center"/>
            <w:shd w:val="clear" w:fill="0D9488"/>
          </w:tcPr>
          <w:p>
            <w:pPr>
              <w:spacing w:after="40" w:before="40"/>
            </w:pPr>
            <w:r>
              <w:rPr>
                <w:b/>
                <w:color w:val="FFFFFF"/>
                <w:sz w:val="20"/>
              </w:rPr>
            </w:r>
            <w:r>
              <w:rPr>
                <w:b/>
                <w:color w:val="FFFFFF"/>
                <w:sz w:val="20"/>
              </w:rPr>
              <w:t>Kaynak</w:t>
            </w:r>
          </w:p>
        </w:tc>
      </w:tr>
      <w:tr>
        <w:tc>
          <w:tcPr>
            <w:tcW w:type="dxa" w:w="4176"/>
            <w:vAlign w:val="center"/>
          </w:tcPr>
          <w:p>
            <w:pPr>
              <w:spacing w:after="40" w:before="40"/>
            </w:pPr>
            <w:r>
              <w:rPr>
                <w:sz w:val="20"/>
              </w:rPr>
            </w:r>
            <w:r>
              <w:rPr>
                <w:sz w:val="20"/>
              </w:rPr>
              <w:t>Rehabilitasyondan fayda görecek birey sayısı</w:t>
            </w:r>
          </w:p>
        </w:tc>
        <w:tc>
          <w:tcPr>
            <w:tcW w:type="dxa" w:w="3456"/>
            <w:vAlign w:val="center"/>
          </w:tcPr>
          <w:p>
            <w:pPr>
              <w:spacing w:after="40" w:before="40"/>
            </w:pPr>
            <w:r>
              <w:rPr>
                <w:sz w:val="20"/>
              </w:rPr>
            </w:r>
            <w:r>
              <w:rPr>
                <w:sz w:val="20"/>
              </w:rPr>
              <w:t>~2,4 milyar (dünya nüfusunun ~1/3'ü)</w:t>
            </w:r>
          </w:p>
        </w:tc>
        <w:tc>
          <w:tcPr>
            <w:tcW w:type="dxa" w:w="2160"/>
            <w:vAlign w:val="center"/>
          </w:tcPr>
          <w:p>
            <w:pPr>
              <w:spacing w:after="40" w:before="40"/>
            </w:pPr>
            <w:r>
              <w:rPr>
                <w:sz w:val="20"/>
              </w:rPr>
            </w:r>
            <w:r>
              <w:rPr>
                <w:sz w:val="20"/>
              </w:rPr>
              <w:t>WHO &amp; IHME</w:t>
            </w:r>
          </w:p>
        </w:tc>
      </w:tr>
      <w:tr>
        <w:tc>
          <w:tcPr>
            <w:tcW w:type="dxa" w:w="4176"/>
            <w:vAlign w:val="center"/>
            <w:shd w:val="clear" w:fill="F2F9F8"/>
          </w:tcPr>
          <w:p>
            <w:pPr>
              <w:spacing w:after="40" w:before="40"/>
            </w:pPr>
            <w:r>
              <w:rPr>
                <w:sz w:val="20"/>
              </w:rPr>
            </w:r>
            <w:r>
              <w:rPr>
                <w:sz w:val="20"/>
              </w:rPr>
              <w:t>1990'dan bu yana bu ihtiyaçtaki artış</w:t>
            </w:r>
          </w:p>
        </w:tc>
        <w:tc>
          <w:tcPr>
            <w:tcW w:type="dxa" w:w="3456"/>
            <w:vAlign w:val="center"/>
            <w:shd w:val="clear" w:fill="F2F9F8"/>
          </w:tcPr>
          <w:p>
            <w:pPr>
              <w:spacing w:after="40" w:before="40"/>
            </w:pPr>
            <w:r>
              <w:rPr>
                <w:sz w:val="20"/>
              </w:rPr>
            </w:r>
            <w:r>
              <w:rPr>
                <w:sz w:val="20"/>
              </w:rPr>
              <w:t>+%63</w:t>
            </w:r>
          </w:p>
        </w:tc>
        <w:tc>
          <w:tcPr>
            <w:tcW w:type="dxa" w:w="2160"/>
            <w:vAlign w:val="center"/>
            <w:shd w:val="clear" w:fill="F2F9F8"/>
          </w:tcPr>
          <w:p>
            <w:pPr>
              <w:spacing w:after="40" w:before="40"/>
            </w:pPr>
            <w:r>
              <w:rPr>
                <w:sz w:val="20"/>
              </w:rPr>
            </w:r>
            <w:r>
              <w:rPr>
                <w:sz w:val="20"/>
              </w:rPr>
              <w:t>WHO &amp; IHME</w:t>
            </w:r>
          </w:p>
        </w:tc>
      </w:tr>
      <w:tr>
        <w:tc>
          <w:tcPr>
            <w:tcW w:type="dxa" w:w="4176"/>
            <w:vAlign w:val="center"/>
          </w:tcPr>
          <w:p>
            <w:pPr>
              <w:spacing w:after="40" w:before="40"/>
            </w:pPr>
            <w:r>
              <w:rPr>
                <w:sz w:val="20"/>
              </w:rPr>
            </w:r>
            <w:r>
              <w:rPr>
                <w:sz w:val="20"/>
              </w:rPr>
              <w:t>Temel sağlık hizmetlerine erişemeyen kişi (2023)</w:t>
            </w:r>
          </w:p>
        </w:tc>
        <w:tc>
          <w:tcPr>
            <w:tcW w:type="dxa" w:w="3456"/>
            <w:vAlign w:val="center"/>
          </w:tcPr>
          <w:p>
            <w:pPr>
              <w:spacing w:after="40" w:before="40"/>
            </w:pPr>
            <w:r>
              <w:rPr>
                <w:sz w:val="20"/>
              </w:rPr>
            </w:r>
            <w:r>
              <w:rPr>
                <w:sz w:val="20"/>
              </w:rPr>
              <w:t>~4,6 milyar (&gt;nüfusun yarısı)</w:t>
            </w:r>
          </w:p>
        </w:tc>
        <w:tc>
          <w:tcPr>
            <w:tcW w:type="dxa" w:w="2160"/>
            <w:vAlign w:val="center"/>
          </w:tcPr>
          <w:p>
            <w:pPr>
              <w:spacing w:after="40" w:before="40"/>
            </w:pPr>
            <w:r>
              <w:rPr>
                <w:sz w:val="20"/>
              </w:rPr>
            </w:r>
            <w:r>
              <w:rPr>
                <w:sz w:val="20"/>
              </w:rPr>
              <w:t>WHO–Dünya Bankası</w:t>
            </w:r>
          </w:p>
        </w:tc>
      </w:tr>
      <w:tr>
        <w:tc>
          <w:tcPr>
            <w:tcW w:type="dxa" w:w="4176"/>
            <w:vAlign w:val="center"/>
            <w:shd w:val="clear" w:fill="F2F9F8"/>
          </w:tcPr>
          <w:p>
            <w:pPr>
              <w:spacing w:after="40" w:before="40"/>
            </w:pPr>
            <w:r>
              <w:rPr>
                <w:sz w:val="20"/>
              </w:rPr>
            </w:r>
            <w:r>
              <w:rPr>
                <w:sz w:val="20"/>
              </w:rPr>
              <w:t>Rehabilitasyona erişemeyenler (düşük/orta gelir)</w:t>
            </w:r>
          </w:p>
        </w:tc>
        <w:tc>
          <w:tcPr>
            <w:tcW w:type="dxa" w:w="3456"/>
            <w:vAlign w:val="center"/>
            <w:shd w:val="clear" w:fill="F2F9F8"/>
          </w:tcPr>
          <w:p>
            <w:pPr>
              <w:spacing w:after="40" w:before="40"/>
            </w:pPr>
            <w:r>
              <w:rPr>
                <w:sz w:val="20"/>
              </w:rPr>
            </w:r>
            <w:r>
              <w:rPr>
                <w:sz w:val="20"/>
              </w:rPr>
              <w:t>İhtiyaç sahiplerinin yarısından fazlası</w:t>
            </w:r>
          </w:p>
        </w:tc>
        <w:tc>
          <w:tcPr>
            <w:tcW w:type="dxa" w:w="2160"/>
            <w:vAlign w:val="center"/>
            <w:shd w:val="clear" w:fill="F2F9F8"/>
          </w:tcPr>
          <w:p>
            <w:pPr>
              <w:spacing w:after="40" w:before="40"/>
            </w:pPr>
            <w:r>
              <w:rPr>
                <w:sz w:val="20"/>
              </w:rPr>
            </w:r>
            <w:r>
              <w:rPr>
                <w:sz w:val="20"/>
              </w:rPr>
              <w:t>WHO</w:t>
            </w:r>
          </w:p>
        </w:tc>
      </w:tr>
      <w:tr>
        <w:tc>
          <w:tcPr>
            <w:tcW w:type="dxa" w:w="4176"/>
            <w:vAlign w:val="center"/>
          </w:tcPr>
          <w:p>
            <w:pPr>
              <w:spacing w:after="40" w:before="40"/>
            </w:pPr>
            <w:r>
              <w:rPr>
                <w:sz w:val="20"/>
              </w:rPr>
            </w:r>
            <w:r>
              <w:rPr>
                <w:sz w:val="20"/>
              </w:rPr>
              <w:t>Dünyada Parkinson hastası (2021)</w:t>
            </w:r>
          </w:p>
        </w:tc>
        <w:tc>
          <w:tcPr>
            <w:tcW w:type="dxa" w:w="3456"/>
            <w:vAlign w:val="center"/>
          </w:tcPr>
          <w:p>
            <w:pPr>
              <w:spacing w:after="40" w:before="40"/>
            </w:pPr>
            <w:r>
              <w:rPr>
                <w:sz w:val="20"/>
              </w:rPr>
            </w:r>
            <w:r>
              <w:rPr>
                <w:sz w:val="20"/>
              </w:rPr>
              <w:t>~11,8 milyon (2050'de ~25 milyon)</w:t>
            </w:r>
          </w:p>
        </w:tc>
        <w:tc>
          <w:tcPr>
            <w:tcW w:type="dxa" w:w="2160"/>
            <w:vAlign w:val="center"/>
          </w:tcPr>
          <w:p>
            <w:pPr>
              <w:spacing w:after="40" w:before="40"/>
            </w:pPr>
            <w:r>
              <w:rPr>
                <w:sz w:val="20"/>
              </w:rPr>
            </w:r>
            <w:r>
              <w:rPr>
                <w:sz w:val="20"/>
              </w:rPr>
              <w:t>GBD 2021 / BMJ</w:t>
            </w:r>
          </w:p>
        </w:tc>
      </w:tr>
      <w:tr>
        <w:tc>
          <w:tcPr>
            <w:tcW w:type="dxa" w:w="4176"/>
            <w:vAlign w:val="center"/>
            <w:shd w:val="clear" w:fill="F2F9F8"/>
          </w:tcPr>
          <w:p>
            <w:pPr>
              <w:spacing w:after="40" w:before="40"/>
            </w:pPr>
            <w:r>
              <w:rPr>
                <w:sz w:val="20"/>
              </w:rPr>
            </w:r>
            <w:r>
              <w:rPr>
                <w:sz w:val="20"/>
              </w:rPr>
              <w:t>İnme etkileriyle yaşayan birey</w:t>
            </w:r>
          </w:p>
        </w:tc>
        <w:tc>
          <w:tcPr>
            <w:tcW w:type="dxa" w:w="3456"/>
            <w:vAlign w:val="center"/>
            <w:shd w:val="clear" w:fill="F2F9F8"/>
          </w:tcPr>
          <w:p>
            <w:pPr>
              <w:spacing w:after="40" w:before="40"/>
            </w:pPr>
            <w:r>
              <w:rPr>
                <w:sz w:val="20"/>
              </w:rPr>
            </w:r>
            <w:r>
              <w:rPr>
                <w:sz w:val="20"/>
              </w:rPr>
              <w:t>~93,8 milyon</w:t>
            </w:r>
          </w:p>
        </w:tc>
        <w:tc>
          <w:tcPr>
            <w:tcW w:type="dxa" w:w="2160"/>
            <w:vAlign w:val="center"/>
            <w:shd w:val="clear" w:fill="F2F9F8"/>
          </w:tcPr>
          <w:p>
            <w:pPr>
              <w:spacing w:after="40" w:before="40"/>
            </w:pPr>
            <w:r>
              <w:rPr>
                <w:sz w:val="20"/>
              </w:rPr>
            </w:r>
            <w:r>
              <w:rPr>
                <w:sz w:val="20"/>
              </w:rPr>
              <w:t>GBD 2021</w:t>
            </w:r>
          </w:p>
        </w:tc>
      </w:tr>
    </w:tbl>
    <w:p>
      <w:pPr>
        <w:spacing w:after="40"/>
      </w:pPr>
    </w:p>
    <w:p>
      <w:r>
        <w:rPr>
          <w:b w:val="0"/>
          <w:i w:val="0"/>
        </w:rPr>
        <w:t>Bu tablo, ViMove'un yalnızca aktif programlarıyla bile (Parkinson ve inme) onlarca milyon kişilik bir kitleye hitap ettiğini; genel erişim açığı düşünüldüğünde ise potansiyel etkisinin milyarlarca insana uzandığını gösterir.</w:t>
      </w:r>
    </w:p>
    <w:p>
      <w:pPr>
        <w:pStyle w:val="Heading2"/>
      </w:pPr>
      <w:r>
        <w:rPr>
          <w:b w:val="0"/>
          <w:i w:val="0"/>
        </w:rPr>
        <w:t>3.1 Neden Mevcut Çözümler Yetersiz?</w:t>
      </w:r>
    </w:p>
    <w:p>
      <w:pPr>
        <w:pStyle w:val="ListBullet"/>
      </w:pPr>
      <w:r>
        <w:rPr>
          <w:b/>
          <w:sz w:val="22"/>
        </w:rPr>
        <w:t xml:space="preserve">Klinik seansları. </w:t>
      </w:r>
      <w:r>
        <w:rPr>
          <w:sz w:val="22"/>
        </w:rPr>
        <w:t xml:space="preserve"> Ulaşım, maliyet ve randevu gerektirir; süreklilik düşüktür.</w:t>
      </w:r>
    </w:p>
    <w:p>
      <w:pPr>
        <w:pStyle w:val="ListBullet"/>
      </w:pPr>
      <w:r>
        <w:rPr>
          <w:b/>
          <w:sz w:val="22"/>
        </w:rPr>
        <w:t xml:space="preserve">Mobil uygulamalar. </w:t>
      </w:r>
      <w:r>
        <w:rPr>
          <w:sz w:val="22"/>
        </w:rPr>
        <w:t xml:space="preserve"> İndirme/kurulum bariyeri vardır ve çoğu hareketi doğrulamaz, yalnızca gösterir.</w:t>
      </w:r>
    </w:p>
    <w:p>
      <w:pPr>
        <w:pStyle w:val="ListBullet"/>
      </w:pPr>
      <w:r>
        <w:rPr>
          <w:b/>
          <w:sz w:val="22"/>
        </w:rPr>
        <w:t xml:space="preserve">Pasif video kütüphaneleri. </w:t>
      </w:r>
      <w:r>
        <w:rPr>
          <w:sz w:val="22"/>
        </w:rPr>
        <w:t xml:space="preserve"> Geri bildirim vermez; kullanıcı doğru yapıp yapmadığını bilemez.</w:t>
      </w:r>
    </w:p>
    <w:p>
      <w:r>
        <w:br w:type="page"/>
      </w:r>
    </w:p>
    <w:p>
      <w:pPr>
        <w:pStyle w:val="Heading1"/>
      </w:pPr>
      <w:r>
        <w:rPr>
          <w:b w:val="0"/>
          <w:i w:val="0"/>
        </w:rPr>
        <w:t>4. Çözüm: ViMove</w:t>
      </w:r>
    </w:p>
    <w:p>
      <w:r>
        <w:rPr>
          <w:b w:val="0"/>
          <w:i w:val="0"/>
        </w:rPr>
        <w:t>ViMove, üç adımda çalışan uçtan uca bir hareket terapisi deneyimidir: (1) Kullanıcı yaşını, cinsiyetini ve durumunu girer; (2) kameraya izin verir; (3) ekrandaki egzersizleri yapar; yapay zekâ hareketi izler, doğrular ve tekrarları sayar. Tüm akış tarayıcıda, kurulumsuz çalışır.</w:t>
      </w:r>
    </w:p>
    <w:p>
      <w:pPr>
        <w:pStyle w:val="Heading2"/>
      </w:pPr>
      <w:r>
        <w:rPr>
          <w:b w:val="0"/>
          <w:i w:val="0"/>
        </w:rPr>
        <w:t>4.1 Öne Çıkan Yetenekler</w:t>
      </w:r>
    </w:p>
    <w:p>
      <w:pPr>
        <w:pStyle w:val="ListBullet"/>
      </w:pPr>
      <w:r>
        <w:rPr>
          <w:b/>
          <w:sz w:val="22"/>
        </w:rPr>
        <w:t xml:space="preserve">Gerçek zamanlı AI takibi. </w:t>
      </w:r>
      <w:r>
        <w:rPr>
          <w:sz w:val="22"/>
        </w:rPr>
        <w:t xml:space="preserve"> El, yüz ve tüm vücutta her karede 500'den fazla anatomik nokta gerçek zamanlı izlenir.</w:t>
      </w:r>
    </w:p>
    <w:p>
      <w:pPr>
        <w:pStyle w:val="ListBullet"/>
      </w:pPr>
      <w:r>
        <w:rPr>
          <w:b/>
          <w:sz w:val="22"/>
        </w:rPr>
        <w:t xml:space="preserve">Kişiselleştirme. </w:t>
      </w:r>
      <w:r>
        <w:rPr>
          <w:sz w:val="22"/>
        </w:rPr>
        <w:t xml:space="preserve"> Yaş, cinsiyet ve duruma göre egzersiz seti ve tekrar hedefleri uyarlanır.</w:t>
      </w:r>
    </w:p>
    <w:p>
      <w:pPr>
        <w:pStyle w:val="ListBullet"/>
      </w:pPr>
      <w:r>
        <w:rPr>
          <w:b/>
          <w:sz w:val="22"/>
        </w:rPr>
        <w:t xml:space="preserve">Otomatik sayım &amp; rapor. </w:t>
      </w:r>
      <w:r>
        <w:rPr>
          <w:sz w:val="22"/>
        </w:rPr>
        <w:t xml:space="preserve"> Sayaç ve ilerleme çubuğu her tekrarı anlık gösterir; seans sonunda hareket-kalite raporu üretilir.</w:t>
      </w:r>
    </w:p>
    <w:p>
      <w:pPr>
        <w:pStyle w:val="ListBullet"/>
      </w:pPr>
      <w:r>
        <w:rPr>
          <w:b/>
          <w:sz w:val="22"/>
        </w:rPr>
        <w:t xml:space="preserve">Erişilebilirlik. </w:t>
      </w:r>
      <w:r>
        <w:rPr>
          <w:sz w:val="22"/>
        </w:rPr>
        <w:t xml:space="preserve"> Sesli yönlendirme, büyük yazı ve yüksek kontrastla görme engelli ve yaşlı kullanıcılara uygundur.</w:t>
      </w:r>
    </w:p>
    <w:p>
      <w:pPr>
        <w:pStyle w:val="ListBullet"/>
      </w:pPr>
      <w:r>
        <w:rPr>
          <w:b/>
          <w:sz w:val="22"/>
        </w:rPr>
        <w:t xml:space="preserve">Gizlilik. </w:t>
      </w:r>
      <w:r>
        <w:rPr>
          <w:sz w:val="22"/>
        </w:rPr>
        <w:t xml:space="preserve"> Görüntü cihazdan çıkmaz; analiz tamamen tarayıcıda yapılır.</w:t>
      </w:r>
    </w:p>
    <w:p>
      <w:pPr>
        <w:pStyle w:val="Heading2"/>
      </w:pPr>
      <w:r>
        <w:rPr>
          <w:b w:val="0"/>
          <w:i w:val="0"/>
        </w:rPr>
        <w:t>4.2 Desteklenen Durumlar</w:t>
      </w:r>
    </w:p>
    <w:tbl>
      <w:tblPr>
        <w:tblStyle w:val="TableGrid"/>
        <w:tblW w:type="auto" w:w="0"/>
        <w:jc w:val="center"/>
        <w:tblLook w:firstColumn="1" w:firstRow="1" w:lastColumn="0" w:lastRow="0" w:noHBand="0" w:noVBand="1" w:val="04A0"/>
      </w:tblPr>
      <w:tblGrid>
        <w:gridCol w:w="2880"/>
        <w:gridCol w:w="2880"/>
        <w:gridCol w:w="2880"/>
      </w:tblGrid>
      <w:tr>
        <w:tc>
          <w:tcPr>
            <w:tcW w:type="dxa" w:w="2736"/>
            <w:vAlign w:val="center"/>
            <w:shd w:val="clear" w:fill="0D9488"/>
          </w:tcPr>
          <w:p>
            <w:pPr>
              <w:spacing w:after="40" w:before="40"/>
            </w:pPr>
            <w:r>
              <w:rPr>
                <w:b/>
                <w:color w:val="FFFFFF"/>
                <w:sz w:val="20"/>
              </w:rPr>
            </w:r>
            <w:r>
              <w:rPr>
                <w:b/>
                <w:color w:val="FFFFFF"/>
                <w:sz w:val="20"/>
              </w:rPr>
              <w:t>Program</w:t>
            </w:r>
          </w:p>
        </w:tc>
        <w:tc>
          <w:tcPr>
            <w:tcW w:type="dxa" w:w="1296"/>
            <w:vAlign w:val="center"/>
            <w:shd w:val="clear" w:fill="0D9488"/>
          </w:tcPr>
          <w:p>
            <w:pPr>
              <w:spacing w:after="40" w:before="40"/>
            </w:pPr>
            <w:r>
              <w:rPr>
                <w:b/>
                <w:color w:val="FFFFFF"/>
                <w:sz w:val="20"/>
              </w:rPr>
            </w:r>
            <w:r>
              <w:rPr>
                <w:b/>
                <w:color w:val="FFFFFF"/>
                <w:sz w:val="20"/>
              </w:rPr>
              <w:t>Durum</w:t>
            </w:r>
          </w:p>
        </w:tc>
        <w:tc>
          <w:tcPr>
            <w:tcW w:type="dxa" w:w="5760"/>
            <w:vAlign w:val="center"/>
            <w:shd w:val="clear" w:fill="0D9488"/>
          </w:tcPr>
          <w:p>
            <w:pPr>
              <w:spacing w:after="40" w:before="40"/>
            </w:pPr>
            <w:r>
              <w:rPr>
                <w:b/>
                <w:color w:val="FFFFFF"/>
                <w:sz w:val="20"/>
              </w:rPr>
            </w:r>
            <w:r>
              <w:rPr>
                <w:b/>
                <w:color w:val="FFFFFF"/>
                <w:sz w:val="20"/>
              </w:rPr>
              <w:t>Klinik Yaklaşım</w:t>
            </w:r>
          </w:p>
        </w:tc>
      </w:tr>
      <w:tr>
        <w:tc>
          <w:tcPr>
            <w:tcW w:type="dxa" w:w="2736"/>
            <w:vAlign w:val="center"/>
          </w:tcPr>
          <w:p>
            <w:pPr>
              <w:spacing w:after="40" w:before="40"/>
            </w:pPr>
            <w:r>
              <w:rPr>
                <w:sz w:val="20"/>
              </w:rPr>
            </w:r>
            <w:r>
              <w:rPr>
                <w:sz w:val="20"/>
              </w:rPr>
              <w:t>Parkinson hastalığı</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Büyük genlikli hareketler (LSVT BIG), kuvvet, denge, yüz mobilitesi</w:t>
            </w:r>
          </w:p>
        </w:tc>
      </w:tr>
      <w:tr>
        <w:tc>
          <w:tcPr>
            <w:tcW w:type="dxa" w:w="2736"/>
            <w:vAlign w:val="center"/>
            <w:shd w:val="clear" w:fill="F2F9F8"/>
          </w:tcPr>
          <w:p>
            <w:pPr>
              <w:spacing w:after="40" w:before="40"/>
            </w:pPr>
            <w:r>
              <w:rPr>
                <w:sz w:val="20"/>
              </w:rPr>
            </w:r>
            <w:r>
              <w:rPr>
                <w:sz w:val="20"/>
              </w:rPr>
              <w:t>İnme sonrası rehabilitasyon</w:t>
            </w:r>
          </w:p>
        </w:tc>
        <w:tc>
          <w:tcPr>
            <w:tcW w:type="dxa" w:w="1296"/>
            <w:vAlign w:val="center"/>
            <w:shd w:val="clear" w:fill="F2F9F8"/>
          </w:tcPr>
          <w:p>
            <w:pPr>
              <w:spacing w:after="40" w:before="40"/>
            </w:pPr>
            <w:r>
              <w:rPr>
                <w:sz w:val="20"/>
              </w:rPr>
            </w:r>
            <w:r>
              <w:rPr>
                <w:sz w:val="20"/>
              </w:rPr>
              <w:t>Aktif</w:t>
            </w:r>
          </w:p>
        </w:tc>
        <w:tc>
          <w:tcPr>
            <w:tcW w:type="dxa" w:w="5760"/>
            <w:vAlign w:val="center"/>
            <w:shd w:val="clear" w:fill="F2F9F8"/>
          </w:tcPr>
          <w:p>
            <w:pPr>
              <w:spacing w:after="40" w:before="40"/>
            </w:pPr>
            <w:r>
              <w:rPr>
                <w:sz w:val="20"/>
              </w:rPr>
            </w:r>
            <w:r>
              <w:rPr>
                <w:sz w:val="20"/>
              </w:rPr>
              <w:t>Yüksek tekrarlı, göreve özel pratik; iki taraf simetrisi</w:t>
            </w:r>
          </w:p>
        </w:tc>
      </w:tr>
      <w:tr>
        <w:tc>
          <w:tcPr>
            <w:tcW w:type="dxa" w:w="2736"/>
            <w:vAlign w:val="center"/>
          </w:tcPr>
          <w:p>
            <w:pPr>
              <w:spacing w:after="40" w:before="40"/>
            </w:pPr>
            <w:r>
              <w:rPr>
                <w:sz w:val="20"/>
              </w:rPr>
            </w:r>
            <w:r>
              <w:rPr>
                <w:sz w:val="20"/>
              </w:rPr>
              <w:t>Osteoartrit &amp; eklem mobilitesi</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Eklem hareket açıklığı + düşük yüklü kuvvetlendirme (OARSI/ACR)</w:t>
            </w:r>
          </w:p>
        </w:tc>
      </w:tr>
      <w:tr>
        <w:tc>
          <w:tcPr>
            <w:tcW w:type="dxa" w:w="2736"/>
            <w:vAlign w:val="center"/>
            <w:shd w:val="clear" w:fill="F2F9F8"/>
          </w:tcPr>
          <w:p>
            <w:pPr>
              <w:spacing w:after="40" w:before="40"/>
            </w:pPr>
            <w:r>
              <w:rPr>
                <w:sz w:val="20"/>
              </w:rPr>
            </w:r>
            <w:r>
              <w:rPr>
                <w:sz w:val="20"/>
              </w:rPr>
              <w:t>Denge &amp; düşme önleme</w:t>
            </w:r>
          </w:p>
        </w:tc>
        <w:tc>
          <w:tcPr>
            <w:tcW w:type="dxa" w:w="1296"/>
            <w:vAlign w:val="center"/>
            <w:shd w:val="clear" w:fill="F2F9F8"/>
          </w:tcPr>
          <w:p>
            <w:pPr>
              <w:spacing w:after="40" w:before="40"/>
            </w:pPr>
            <w:r>
              <w:rPr>
                <w:sz w:val="20"/>
              </w:rPr>
            </w:r>
            <w:r>
              <w:rPr>
                <w:sz w:val="20"/>
              </w:rPr>
              <w:t>Aktif</w:t>
            </w:r>
          </w:p>
        </w:tc>
        <w:tc>
          <w:tcPr>
            <w:tcW w:type="dxa" w:w="5760"/>
            <w:vAlign w:val="center"/>
            <w:shd w:val="clear" w:fill="F2F9F8"/>
          </w:tcPr>
          <w:p>
            <w:pPr>
              <w:spacing w:after="40" w:before="40"/>
            </w:pPr>
            <w:r>
              <w:rPr>
                <w:sz w:val="20"/>
              </w:rPr>
            </w:r>
            <w:r>
              <w:rPr>
                <w:sz w:val="20"/>
              </w:rPr>
              <w:t>Alt ekstremite kuvveti — Otago programının kuvvet çekirdeği</w:t>
            </w:r>
          </w:p>
        </w:tc>
      </w:tr>
      <w:tr>
        <w:tc>
          <w:tcPr>
            <w:tcW w:type="dxa" w:w="2736"/>
            <w:vAlign w:val="center"/>
          </w:tcPr>
          <w:p>
            <w:pPr>
              <w:spacing w:after="40" w:before="40"/>
            </w:pPr>
            <w:r>
              <w:rPr>
                <w:sz w:val="20"/>
              </w:rPr>
            </w:r>
            <w:r>
              <w:rPr>
                <w:sz w:val="20"/>
              </w:rPr>
              <w:t>Genel yaşlı kondisyonu</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WHO 65+ çok bileşenli aktivite önerisi</w:t>
            </w:r>
          </w:p>
        </w:tc>
      </w:tr>
      <w:tr>
        <w:tc>
          <w:tcPr>
            <w:tcW w:type="dxa" w:w="2736"/>
            <w:vAlign w:val="center"/>
            <w:shd w:val="clear" w:fill="F2F9F8"/>
          </w:tcPr>
          <w:p>
            <w:pPr>
              <w:spacing w:after="40" w:before="40"/>
            </w:pPr>
            <w:r>
              <w:rPr>
                <w:sz w:val="20"/>
              </w:rPr>
            </w:r>
            <w:r>
              <w:rPr>
                <w:sz w:val="20"/>
              </w:rPr>
              <w:t>Boyun &amp; bel</w:t>
            </w:r>
          </w:p>
        </w:tc>
        <w:tc>
          <w:tcPr>
            <w:tcW w:type="dxa" w:w="1296"/>
            <w:vAlign w:val="center"/>
            <w:shd w:val="clear" w:fill="F2F9F8"/>
          </w:tcPr>
          <w:p>
            <w:pPr>
              <w:spacing w:after="40" w:before="40"/>
            </w:pPr>
            <w:r>
              <w:rPr>
                <w:sz w:val="20"/>
              </w:rPr>
            </w:r>
            <w:r>
              <w:rPr>
                <w:sz w:val="20"/>
              </w:rPr>
              <w:t>Yakında</w:t>
            </w:r>
          </w:p>
        </w:tc>
        <w:tc>
          <w:tcPr>
            <w:tcW w:type="dxa" w:w="5760"/>
            <w:vAlign w:val="center"/>
            <w:shd w:val="clear" w:fill="F2F9F8"/>
          </w:tcPr>
          <w:p>
            <w:pPr>
              <w:spacing w:after="40" w:before="40"/>
            </w:pPr>
            <w:r>
              <w:rPr>
                <w:sz w:val="20"/>
              </w:rPr>
            </w:r>
            <w:r>
              <w:rPr>
                <w:sz w:val="20"/>
              </w:rPr>
              <w:t>Boyun rotasyonu / gövde eğimi algılaması geliştiriliyor</w:t>
            </w:r>
          </w:p>
        </w:tc>
      </w:tr>
    </w:tbl>
    <w:p>
      <w:pPr>
        <w:spacing w:after="40"/>
      </w:pPr>
    </w:p>
    <w:p>
      <w:r>
        <w:br w:type="page"/>
      </w:r>
    </w:p>
    <w:p>
      <w:pPr>
        <w:pStyle w:val="Heading1"/>
      </w:pPr>
      <w:r>
        <w:rPr>
          <w:b w:val="0"/>
          <w:i w:val="0"/>
        </w:rPr>
        <w:t>5. Teknik Mimari</w:t>
      </w:r>
    </w:p>
    <w:p>
      <w:r>
        <w:rPr>
          <w:b w:val="0"/>
          <w:i w:val="0"/>
        </w:rPr>
        <w:t>ViMove sıfırdan, modern bir web mimarisiyle kodlanmıştır ve üç katmandan oluşur: (1) tarayıcıda çalışan yapay zekâ görü motoru (istemci tarafı), (2) ölçek-bağımsız ölçüm ve tekrar sayım algoritması, (3) kanıt-temelli kişiselleştirme motoru (sunucu tarafı). Aşağıda her katman ayrıntılı olarak açıklanmaktadır.</w:t>
      </w:r>
    </w:p>
    <w:p>
      <w:pPr>
        <w:pStyle w:val="Heading2"/>
      </w:pPr>
      <w:r>
        <w:rPr>
          <w:b w:val="0"/>
          <w:i w:val="0"/>
        </w:rPr>
        <w:t>5.1 Genel Mimari ve Teknoloji Yığını</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val="clear" w:fill="0D9488"/>
          </w:tcPr>
          <w:p>
            <w:pPr>
              <w:spacing w:after="40" w:before="40"/>
            </w:pPr>
            <w:r>
              <w:rPr>
                <w:b/>
                <w:color w:val="FFFFFF"/>
                <w:sz w:val="20"/>
              </w:rPr>
            </w:r>
            <w:r>
              <w:rPr>
                <w:b/>
                <w:color w:val="FFFFFF"/>
                <w:sz w:val="20"/>
              </w:rPr>
              <w:t>Katman</w:t>
            </w:r>
          </w:p>
        </w:tc>
        <w:tc>
          <w:tcPr>
            <w:tcW w:type="dxa" w:w="4464"/>
            <w:vAlign w:val="center"/>
            <w:shd w:val="clear" w:fill="0D9488"/>
          </w:tcPr>
          <w:p>
            <w:pPr>
              <w:spacing w:after="40" w:before="40"/>
            </w:pPr>
            <w:r>
              <w:rPr>
                <w:b/>
                <w:color w:val="FFFFFF"/>
                <w:sz w:val="20"/>
              </w:rPr>
            </w:r>
            <w:r>
              <w:rPr>
                <w:b/>
                <w:color w:val="FFFFFF"/>
                <w:sz w:val="20"/>
              </w:rPr>
              <w:t>Teknoloji</w:t>
            </w:r>
          </w:p>
        </w:tc>
        <w:tc>
          <w:tcPr>
            <w:tcW w:type="dxa" w:w="3312"/>
            <w:vAlign w:val="center"/>
            <w:shd w:val="clear" w:fill="0D9488"/>
          </w:tcPr>
          <w:p>
            <w:pPr>
              <w:spacing w:after="40" w:before="40"/>
            </w:pPr>
            <w:r>
              <w:rPr>
                <w:b/>
                <w:color w:val="FFFFFF"/>
                <w:sz w:val="20"/>
              </w:rPr>
            </w:r>
            <w:r>
              <w:rPr>
                <w:b/>
                <w:color w:val="FFFFFF"/>
                <w:sz w:val="20"/>
              </w:rPr>
              <w:t>Rol</w:t>
            </w:r>
          </w:p>
        </w:tc>
      </w:tr>
      <w:tr>
        <w:tc>
          <w:tcPr>
            <w:tcW w:type="dxa" w:w="2016"/>
            <w:vAlign w:val="center"/>
          </w:tcPr>
          <w:p>
            <w:pPr>
              <w:spacing w:after="40" w:before="40"/>
            </w:pPr>
            <w:r>
              <w:rPr>
                <w:sz w:val="20"/>
              </w:rPr>
            </w:r>
            <w:r>
              <w:rPr>
                <w:sz w:val="20"/>
              </w:rPr>
              <w:t>İstemci (AI)</w:t>
            </w:r>
          </w:p>
        </w:tc>
        <w:tc>
          <w:tcPr>
            <w:tcW w:type="dxa" w:w="4464"/>
            <w:vAlign w:val="center"/>
          </w:tcPr>
          <w:p>
            <w:pPr>
              <w:spacing w:after="40" w:before="40"/>
            </w:pPr>
            <w:r>
              <w:rPr>
                <w:sz w:val="20"/>
              </w:rPr>
            </w:r>
            <w:r>
              <w:rPr>
                <w:sz w:val="20"/>
              </w:rPr>
              <w:t>JavaScript + MediaPipe Tasks Vision 0.10.8 (WebAssembly)</w:t>
            </w:r>
          </w:p>
        </w:tc>
        <w:tc>
          <w:tcPr>
            <w:tcW w:type="dxa" w:w="3312"/>
            <w:vAlign w:val="center"/>
          </w:tcPr>
          <w:p>
            <w:pPr>
              <w:spacing w:after="40" w:before="40"/>
            </w:pPr>
            <w:r>
              <w:rPr>
                <w:sz w:val="20"/>
              </w:rPr>
            </w:r>
            <w:r>
              <w:rPr>
                <w:sz w:val="20"/>
              </w:rPr>
              <w:t>Cihaz üzerinde gerçek zamanlı hareket algılama</w:t>
            </w:r>
          </w:p>
        </w:tc>
      </w:tr>
      <w:tr>
        <w:tc>
          <w:tcPr>
            <w:tcW w:type="dxa" w:w="2016"/>
            <w:vAlign w:val="center"/>
            <w:shd w:val="clear" w:fill="F2F9F8"/>
          </w:tcPr>
          <w:p>
            <w:pPr>
              <w:spacing w:after="40" w:before="40"/>
            </w:pPr>
            <w:r>
              <w:rPr>
                <w:sz w:val="20"/>
              </w:rPr>
            </w:r>
            <w:r>
              <w:rPr>
                <w:sz w:val="20"/>
              </w:rPr>
              <w:t>İstemci (UI)</w:t>
            </w:r>
          </w:p>
        </w:tc>
        <w:tc>
          <w:tcPr>
            <w:tcW w:type="dxa" w:w="4464"/>
            <w:vAlign w:val="center"/>
            <w:shd w:val="clear" w:fill="F2F9F8"/>
          </w:tcPr>
          <w:p>
            <w:pPr>
              <w:spacing w:after="40" w:before="40"/>
            </w:pPr>
            <w:r>
              <w:rPr>
                <w:sz w:val="20"/>
              </w:rPr>
            </w:r>
            <w:r>
              <w:rPr>
                <w:sz w:val="20"/>
              </w:rPr>
              <w:t>HTML/CSS + hafif i18n (TR/EN)</w:t>
            </w:r>
          </w:p>
        </w:tc>
        <w:tc>
          <w:tcPr>
            <w:tcW w:type="dxa" w:w="3312"/>
            <w:vAlign w:val="center"/>
            <w:shd w:val="clear" w:fill="F2F9F8"/>
          </w:tcPr>
          <w:p>
            <w:pPr>
              <w:spacing w:after="40" w:before="40"/>
            </w:pPr>
            <w:r>
              <w:rPr>
                <w:sz w:val="20"/>
              </w:rPr>
            </w:r>
            <w:r>
              <w:rPr>
                <w:sz w:val="20"/>
              </w:rPr>
              <w:t>Erişilebilir arayüz, canlı sayaç, sesli yönlendirme</w:t>
            </w:r>
          </w:p>
        </w:tc>
      </w:tr>
      <w:tr>
        <w:tc>
          <w:tcPr>
            <w:tcW w:type="dxa" w:w="2016"/>
            <w:vAlign w:val="center"/>
          </w:tcPr>
          <w:p>
            <w:pPr>
              <w:spacing w:after="40" w:before="40"/>
            </w:pPr>
            <w:r>
              <w:rPr>
                <w:sz w:val="20"/>
              </w:rPr>
            </w:r>
            <w:r>
              <w:rPr>
                <w:sz w:val="20"/>
              </w:rPr>
              <w:t>Sunucu</w:t>
            </w:r>
          </w:p>
        </w:tc>
        <w:tc>
          <w:tcPr>
            <w:tcW w:type="dxa" w:w="4464"/>
            <w:vAlign w:val="center"/>
          </w:tcPr>
          <w:p>
            <w:pPr>
              <w:spacing w:after="40" w:before="40"/>
            </w:pPr>
            <w:r>
              <w:rPr>
                <w:sz w:val="20"/>
              </w:rPr>
            </w:r>
            <w:r>
              <w:rPr>
                <w:sz w:val="20"/>
              </w:rPr>
              <w:t>Python + FastAPI + Jinja2</w:t>
            </w:r>
          </w:p>
        </w:tc>
        <w:tc>
          <w:tcPr>
            <w:tcW w:type="dxa" w:w="3312"/>
            <w:vAlign w:val="center"/>
          </w:tcPr>
          <w:p>
            <w:pPr>
              <w:spacing w:after="40" w:before="40"/>
            </w:pPr>
            <w:r>
              <w:rPr>
                <w:sz w:val="20"/>
              </w:rPr>
            </w:r>
            <w:r>
              <w:rPr>
                <w:sz w:val="20"/>
              </w:rPr>
              <w:t>Sayfa sunumu ve kişiye özel program üretimi</w:t>
            </w:r>
          </w:p>
        </w:tc>
      </w:tr>
      <w:tr>
        <w:tc>
          <w:tcPr>
            <w:tcW w:type="dxa" w:w="2016"/>
            <w:vAlign w:val="center"/>
            <w:shd w:val="clear" w:fill="F2F9F8"/>
          </w:tcPr>
          <w:p>
            <w:pPr>
              <w:spacing w:after="40" w:before="40"/>
            </w:pPr>
            <w:r>
              <w:rPr>
                <w:sz w:val="20"/>
              </w:rPr>
            </w:r>
            <w:r>
              <w:rPr>
                <w:sz w:val="20"/>
              </w:rPr>
              <w:t>Bilgi tabanı</w:t>
            </w:r>
          </w:p>
        </w:tc>
        <w:tc>
          <w:tcPr>
            <w:tcW w:type="dxa" w:w="4464"/>
            <w:vAlign w:val="center"/>
            <w:shd w:val="clear" w:fill="F2F9F8"/>
          </w:tcPr>
          <w:p>
            <w:pPr>
              <w:spacing w:after="40" w:before="40"/>
            </w:pPr>
            <w:r>
              <w:rPr>
                <w:sz w:val="20"/>
              </w:rPr>
            </w:r>
            <w:r>
              <w:rPr>
                <w:sz w:val="20"/>
              </w:rPr>
              <w:t>programs.json (klinik kılavuzlar)</w:t>
            </w:r>
          </w:p>
        </w:tc>
        <w:tc>
          <w:tcPr>
            <w:tcW w:type="dxa" w:w="3312"/>
            <w:vAlign w:val="center"/>
            <w:shd w:val="clear" w:fill="F2F9F8"/>
          </w:tcPr>
          <w:p>
            <w:pPr>
              <w:spacing w:after="40" w:before="40"/>
            </w:pPr>
            <w:r>
              <w:rPr>
                <w:sz w:val="20"/>
              </w:rPr>
            </w:r>
            <w:r>
              <w:rPr>
                <w:sz w:val="20"/>
              </w:rPr>
              <w:t>Egzersizler, dozlar ve kaynaklar</w:t>
            </w:r>
          </w:p>
        </w:tc>
      </w:tr>
      <w:tr>
        <w:tc>
          <w:tcPr>
            <w:tcW w:type="dxa" w:w="2016"/>
            <w:vAlign w:val="center"/>
          </w:tcPr>
          <w:p>
            <w:pPr>
              <w:spacing w:after="40" w:before="40"/>
            </w:pPr>
            <w:r>
              <w:rPr>
                <w:sz w:val="20"/>
              </w:rPr>
            </w:r>
            <w:r>
              <w:rPr>
                <w:sz w:val="20"/>
              </w:rPr>
              <w:t>Veri saklama</w:t>
            </w:r>
          </w:p>
        </w:tc>
        <w:tc>
          <w:tcPr>
            <w:tcW w:type="dxa" w:w="4464"/>
            <w:vAlign w:val="center"/>
          </w:tcPr>
          <w:p>
            <w:pPr>
              <w:spacing w:after="40" w:before="40"/>
            </w:pPr>
            <w:r>
              <w:rPr>
                <w:sz w:val="20"/>
              </w:rPr>
            </w:r>
            <w:r>
              <w:rPr>
                <w:sz w:val="20"/>
              </w:rPr>
              <w:t>Tarayıcı localStorage</w:t>
            </w:r>
          </w:p>
        </w:tc>
        <w:tc>
          <w:tcPr>
            <w:tcW w:type="dxa" w:w="3312"/>
            <w:vAlign w:val="center"/>
          </w:tcPr>
          <w:p>
            <w:pPr>
              <w:spacing w:after="40" w:before="40"/>
            </w:pPr>
            <w:r>
              <w:rPr>
                <w:sz w:val="20"/>
              </w:rPr>
            </w:r>
            <w:r>
              <w:rPr>
                <w:sz w:val="20"/>
              </w:rPr>
              <w:t>İlerleme geçmişi (sunucusuz, cihazda)</w:t>
            </w:r>
          </w:p>
        </w:tc>
      </w:tr>
    </w:tbl>
    <w:p>
      <w:pPr>
        <w:spacing w:after="40"/>
      </w:pPr>
    </w:p>
    <w:p>
      <w:r>
        <w:rPr>
          <w:b w:val="0"/>
          <w:i w:val="0"/>
        </w:rPr>
        <w:t>Sunucu video işlemediği için son derece hafiftir ve yatay olarak kolayca ölçeklenir; tüm hesaplama yükü kullanıcının cihazına dağıtılmıştır. Bu sayede tek bir kullanıcıdan milyonlara, ek altyapı maliyeti neredeyse olmadan ulaşmak mümkündür.</w:t>
      </w:r>
    </w:p>
    <w:p>
      <w:pPr>
        <w:pStyle w:val="Heading2"/>
      </w:pPr>
      <w:r>
        <w:rPr>
          <w:b w:val="0"/>
          <w:i w:val="0"/>
        </w:rPr>
        <w:t>5.2 Tarayıcı-içi Yapay Zekâ Motoru</w:t>
      </w:r>
    </w:p>
    <w:p>
      <w:r>
        <w:rPr>
          <w:b w:val="0"/>
          <w:i w:val="0"/>
        </w:rPr>
        <w:t>Görü işleme tamamen kullanıcının cihazında, tarayıcı içinde gerçekleşir. Bunun için Google'ın MediaPipe Tasks Vision kütüphanesinin üç ayrı modeli kullanılır:</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center"/>
            <w:shd w:val="clear" w:fill="0D9488"/>
          </w:tcPr>
          <w:p>
            <w:pPr>
              <w:spacing w:after="40" w:before="40"/>
            </w:pPr>
            <w:r>
              <w:rPr>
                <w:b/>
                <w:color w:val="FFFFFF"/>
                <w:sz w:val="20"/>
              </w:rPr>
            </w:r>
            <w:r>
              <w:rPr>
                <w:b/>
                <w:color w:val="FFFFFF"/>
                <w:sz w:val="20"/>
              </w:rPr>
              <w:t>Model</w:t>
            </w:r>
          </w:p>
        </w:tc>
        <w:tc>
          <w:tcPr>
            <w:tcW w:type="dxa" w:w="4176"/>
            <w:vAlign w:val="center"/>
            <w:shd w:val="clear" w:fill="0D9488"/>
          </w:tcPr>
          <w:p>
            <w:pPr>
              <w:spacing w:after="40" w:before="40"/>
            </w:pPr>
            <w:r>
              <w:rPr>
                <w:b/>
                <w:color w:val="FFFFFF"/>
                <w:sz w:val="20"/>
              </w:rPr>
            </w:r>
            <w:r>
              <w:rPr>
                <w:b/>
                <w:color w:val="FFFFFF"/>
                <w:sz w:val="20"/>
              </w:rPr>
              <w:t>İzlenen Nokta</w:t>
            </w:r>
          </w:p>
        </w:tc>
        <w:tc>
          <w:tcPr>
            <w:tcW w:type="dxa" w:w="3168"/>
            <w:vAlign w:val="center"/>
            <w:shd w:val="clear" w:fill="0D9488"/>
          </w:tcPr>
          <w:p>
            <w:pPr>
              <w:spacing w:after="40" w:before="40"/>
            </w:pPr>
            <w:r>
              <w:rPr>
                <w:b/>
                <w:color w:val="FFFFFF"/>
                <w:sz w:val="20"/>
              </w:rPr>
            </w:r>
            <w:r>
              <w:rPr>
                <w:b/>
                <w:color w:val="FFFFFF"/>
                <w:sz w:val="20"/>
              </w:rPr>
              <w:t>Kullanım</w:t>
            </w:r>
          </w:p>
        </w:tc>
      </w:tr>
      <w:tr>
        <w:tc>
          <w:tcPr>
            <w:tcW w:type="dxa" w:w="2448"/>
            <w:vAlign w:val="center"/>
          </w:tcPr>
          <w:p>
            <w:pPr>
              <w:spacing w:after="40" w:before="40"/>
            </w:pPr>
            <w:r>
              <w:rPr>
                <w:sz w:val="20"/>
              </w:rPr>
            </w:r>
            <w:r>
              <w:rPr>
                <w:sz w:val="20"/>
              </w:rPr>
              <w:t>HandLandmarker</w:t>
            </w:r>
          </w:p>
        </w:tc>
        <w:tc>
          <w:tcPr>
            <w:tcW w:type="dxa" w:w="4176"/>
            <w:vAlign w:val="center"/>
          </w:tcPr>
          <w:p>
            <w:pPr>
              <w:spacing w:after="40" w:before="40"/>
            </w:pPr>
            <w:r>
              <w:rPr>
                <w:sz w:val="20"/>
              </w:rPr>
            </w:r>
            <w:r>
              <w:rPr>
                <w:sz w:val="20"/>
              </w:rPr>
              <w:t>El başına 21 eklem (2 ele kadar)</w:t>
            </w:r>
          </w:p>
        </w:tc>
        <w:tc>
          <w:tcPr>
            <w:tcW w:type="dxa" w:w="3168"/>
            <w:vAlign w:val="center"/>
          </w:tcPr>
          <w:p>
            <w:pPr>
              <w:spacing w:after="40" w:before="40"/>
            </w:pPr>
            <w:r>
              <w:rPr>
                <w:sz w:val="20"/>
              </w:rPr>
            </w:r>
            <w:r>
              <w:rPr>
                <w:sz w:val="20"/>
              </w:rPr>
              <w:t>El açma-kapama, parmak hareketliliği</w:t>
            </w:r>
          </w:p>
        </w:tc>
      </w:tr>
      <w:tr>
        <w:tc>
          <w:tcPr>
            <w:tcW w:type="dxa" w:w="2448"/>
            <w:vAlign w:val="center"/>
            <w:shd w:val="clear" w:fill="F2F9F8"/>
          </w:tcPr>
          <w:p>
            <w:pPr>
              <w:spacing w:after="40" w:before="40"/>
            </w:pPr>
            <w:r>
              <w:rPr>
                <w:sz w:val="20"/>
              </w:rPr>
            </w:r>
            <w:r>
              <w:rPr>
                <w:sz w:val="20"/>
              </w:rPr>
              <w:t>FaceLandmarker</w:t>
            </w:r>
          </w:p>
        </w:tc>
        <w:tc>
          <w:tcPr>
            <w:tcW w:type="dxa" w:w="4176"/>
            <w:vAlign w:val="center"/>
            <w:shd w:val="clear" w:fill="F2F9F8"/>
          </w:tcPr>
          <w:p>
            <w:pPr>
              <w:spacing w:after="40" w:before="40"/>
            </w:pPr>
            <w:r>
              <w:rPr>
                <w:sz w:val="20"/>
              </w:rPr>
            </w:r>
            <w:r>
              <w:rPr>
                <w:sz w:val="20"/>
              </w:rPr>
              <w:t>468 noktalı yüz ağı (face mesh)</w:t>
            </w:r>
          </w:p>
        </w:tc>
        <w:tc>
          <w:tcPr>
            <w:tcW w:type="dxa" w:w="3168"/>
            <w:vAlign w:val="center"/>
            <w:shd w:val="clear" w:fill="F2F9F8"/>
          </w:tcPr>
          <w:p>
            <w:pPr>
              <w:spacing w:after="40" w:before="40"/>
            </w:pPr>
            <w:r>
              <w:rPr>
                <w:sz w:val="20"/>
              </w:rPr>
            </w:r>
            <w:r>
              <w:rPr>
                <w:sz w:val="20"/>
              </w:rPr>
              <w:t>Ağız açma-kapama, göz kırpma</w:t>
            </w:r>
          </w:p>
        </w:tc>
      </w:tr>
      <w:tr>
        <w:tc>
          <w:tcPr>
            <w:tcW w:type="dxa" w:w="2448"/>
            <w:vAlign w:val="center"/>
          </w:tcPr>
          <w:p>
            <w:pPr>
              <w:spacing w:after="40" w:before="40"/>
            </w:pPr>
            <w:r>
              <w:rPr>
                <w:sz w:val="20"/>
              </w:rPr>
            </w:r>
            <w:r>
              <w:rPr>
                <w:sz w:val="20"/>
              </w:rPr>
              <w:t>PoseLandmarker</w:t>
            </w:r>
          </w:p>
        </w:tc>
        <w:tc>
          <w:tcPr>
            <w:tcW w:type="dxa" w:w="4176"/>
            <w:vAlign w:val="center"/>
          </w:tcPr>
          <w:p>
            <w:pPr>
              <w:spacing w:after="40" w:before="40"/>
            </w:pPr>
            <w:r>
              <w:rPr>
                <w:sz w:val="20"/>
              </w:rPr>
            </w:r>
            <w:r>
              <w:rPr>
                <w:sz w:val="20"/>
              </w:rPr>
              <w:t>33 noktalı tüm vücut iskeleti</w:t>
            </w:r>
          </w:p>
        </w:tc>
        <w:tc>
          <w:tcPr>
            <w:tcW w:type="dxa" w:w="3168"/>
            <w:vAlign w:val="center"/>
          </w:tcPr>
          <w:p>
            <w:pPr>
              <w:spacing w:after="40" w:before="40"/>
            </w:pPr>
            <w:r>
              <w:rPr>
                <w:sz w:val="20"/>
              </w:rPr>
            </w:r>
            <w:r>
              <w:rPr>
                <w:sz w:val="20"/>
              </w:rPr>
              <w:t>Kol/bacak hareketi, otur-kalk</w:t>
            </w:r>
          </w:p>
        </w:tc>
      </w:tr>
    </w:tbl>
    <w:p>
      <w:pPr>
        <w:spacing w:after="40"/>
      </w:pPr>
    </w:p>
    <w:p>
      <w:r>
        <w:rPr>
          <w:b w:val="0"/>
          <w:i w:val="0"/>
        </w:rPr>
        <w:t>Performansı en üst düzeye çıkarmak için her karede yalnızca o anki egzersizin ihtiyaç duyduğu model çalıştırılır; gereksiz modeller devre dışı bırakılır. Bu sayede kare hızı (FPS) yüksek kalır ve uygulama, görece düşük donanımlı cihazlarda bile akıcı çalışır. Modeller WebAssembly ile derlenmiş olarak cihaz üzerinde koştuğundan, kamera görüntüsü hiçbir zaman bir sunucuya gönderilmez.</w:t>
      </w:r>
    </w:p>
    <w:p>
      <w:pPr>
        <w:pStyle w:val="Heading2"/>
      </w:pPr>
      <w:r>
        <w:rPr>
          <w:b w:val="0"/>
          <w:i w:val="0"/>
        </w:rPr>
        <w:t>5.3 Ölçek ve Mesafeden Bağımsız Ölçüm</w:t>
      </w:r>
    </w:p>
    <w:p>
      <w:r>
        <w:rPr>
          <w:b w:val="0"/>
          <w:i w:val="0"/>
        </w:rPr>
        <w:t>Ham koordinatlar; kullanıcının boyuna, kameraya uzaklığına ve odanın boyutuna göre değişir. Bu nedenle ViMove her egzersiz için, vücut/el/yüz boyutuna göre normalize edilmiş bir metrik hesaplar. Böylece ölçüm, kişiden ve ortamdan bağımsız tutarlılık kazanır:</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val="clear" w:fill="0D9488"/>
          </w:tcPr>
          <w:p>
            <w:pPr>
              <w:spacing w:after="40" w:before="40"/>
            </w:pPr>
            <w:r>
              <w:rPr>
                <w:b/>
                <w:color w:val="FFFFFF"/>
                <w:sz w:val="20"/>
              </w:rPr>
            </w:r>
            <w:r>
              <w:rPr>
                <w:b/>
                <w:color w:val="FFFFFF"/>
                <w:sz w:val="20"/>
              </w:rPr>
              <w:t>Egzersiz</w:t>
            </w:r>
          </w:p>
        </w:tc>
        <w:tc>
          <w:tcPr>
            <w:tcW w:type="dxa" w:w="4176"/>
            <w:vAlign w:val="center"/>
            <w:shd w:val="clear" w:fill="0D9488"/>
          </w:tcPr>
          <w:p>
            <w:pPr>
              <w:spacing w:after="40" w:before="40"/>
            </w:pPr>
            <w:r>
              <w:rPr>
                <w:b/>
                <w:color w:val="FFFFFF"/>
                <w:sz w:val="20"/>
              </w:rPr>
            </w:r>
            <w:r>
              <w:rPr>
                <w:b/>
                <w:color w:val="FFFFFF"/>
                <w:sz w:val="20"/>
              </w:rPr>
              <w:t>Metrik</w:t>
            </w:r>
          </w:p>
        </w:tc>
        <w:tc>
          <w:tcPr>
            <w:tcW w:type="dxa" w:w="3024"/>
            <w:vAlign w:val="center"/>
            <w:shd w:val="clear" w:fill="0D9488"/>
          </w:tcPr>
          <w:p>
            <w:pPr>
              <w:spacing w:after="40" w:before="40"/>
            </w:pPr>
            <w:r>
              <w:rPr>
                <w:b/>
                <w:color w:val="FFFFFF"/>
                <w:sz w:val="20"/>
              </w:rPr>
            </w:r>
            <w:r>
              <w:rPr>
                <w:b/>
                <w:color w:val="FFFFFF"/>
                <w:sz w:val="20"/>
              </w:rPr>
              <w:t>Normalizasyon</w:t>
            </w:r>
          </w:p>
        </w:tc>
      </w:tr>
      <w:tr>
        <w:tc>
          <w:tcPr>
            <w:tcW w:type="dxa" w:w="2592"/>
            <w:vAlign w:val="center"/>
          </w:tcPr>
          <w:p>
            <w:pPr>
              <w:spacing w:after="40" w:before="40"/>
            </w:pPr>
            <w:r>
              <w:rPr>
                <w:sz w:val="20"/>
              </w:rPr>
            </w:r>
            <w:r>
              <w:rPr>
                <w:sz w:val="20"/>
              </w:rPr>
              <w:t>El açma-kapama</w:t>
            </w:r>
          </w:p>
        </w:tc>
        <w:tc>
          <w:tcPr>
            <w:tcW w:type="dxa" w:w="4176"/>
            <w:vAlign w:val="center"/>
          </w:tcPr>
          <w:p>
            <w:pPr>
              <w:spacing w:after="40" w:before="40"/>
            </w:pPr>
            <w:r>
              <w:rPr>
                <w:sz w:val="20"/>
              </w:rPr>
            </w:r>
            <w:r>
              <w:rPr>
                <w:sz w:val="20"/>
              </w:rPr>
              <w:t>Açık parmak sayısı + süreklilik (açıklık)</w:t>
            </w:r>
          </w:p>
        </w:tc>
        <w:tc>
          <w:tcPr>
            <w:tcW w:type="dxa" w:w="3024"/>
            <w:vAlign w:val="center"/>
          </w:tcPr>
          <w:p>
            <w:pPr>
              <w:spacing w:after="40" w:before="40"/>
            </w:pPr>
            <w:r>
              <w:rPr>
                <w:sz w:val="20"/>
              </w:rPr>
            </w:r>
            <w:r>
              <w:rPr>
                <w:sz w:val="20"/>
              </w:rPr>
              <w:t>Avuç boyuna (bilek–orta parmak) göre</w:t>
            </w:r>
          </w:p>
        </w:tc>
      </w:tr>
      <w:tr>
        <w:tc>
          <w:tcPr>
            <w:tcW w:type="dxa" w:w="2592"/>
            <w:vAlign w:val="center"/>
            <w:shd w:val="clear" w:fill="F2F9F8"/>
          </w:tcPr>
          <w:p>
            <w:pPr>
              <w:spacing w:after="40" w:before="40"/>
            </w:pPr>
            <w:r>
              <w:rPr>
                <w:sz w:val="20"/>
              </w:rPr>
            </w:r>
            <w:r>
              <w:rPr>
                <w:sz w:val="20"/>
              </w:rPr>
              <w:t>Göz kırpma</w:t>
            </w:r>
          </w:p>
        </w:tc>
        <w:tc>
          <w:tcPr>
            <w:tcW w:type="dxa" w:w="4176"/>
            <w:vAlign w:val="center"/>
            <w:shd w:val="clear" w:fill="F2F9F8"/>
          </w:tcPr>
          <w:p>
            <w:pPr>
              <w:spacing w:after="40" w:before="40"/>
            </w:pPr>
            <w:r>
              <w:rPr>
                <w:sz w:val="20"/>
              </w:rPr>
            </w:r>
            <w:r>
              <w:rPr>
                <w:sz w:val="20"/>
              </w:rPr>
              <w:t>Göz En-Boy Oranı (EAR): dikey/yatay</w:t>
            </w:r>
          </w:p>
        </w:tc>
        <w:tc>
          <w:tcPr>
            <w:tcW w:type="dxa" w:w="3024"/>
            <w:vAlign w:val="center"/>
            <w:shd w:val="clear" w:fill="F2F9F8"/>
          </w:tcPr>
          <w:p>
            <w:pPr>
              <w:spacing w:after="40" w:before="40"/>
            </w:pPr>
            <w:r>
              <w:rPr>
                <w:sz w:val="20"/>
              </w:rPr>
            </w:r>
            <w:r>
              <w:rPr>
                <w:sz w:val="20"/>
              </w:rPr>
              <w:t>Gözün kendi genişliğine göre</w:t>
            </w:r>
          </w:p>
        </w:tc>
      </w:tr>
      <w:tr>
        <w:tc>
          <w:tcPr>
            <w:tcW w:type="dxa" w:w="2592"/>
            <w:vAlign w:val="center"/>
          </w:tcPr>
          <w:p>
            <w:pPr>
              <w:spacing w:after="40" w:before="40"/>
            </w:pPr>
            <w:r>
              <w:rPr>
                <w:sz w:val="20"/>
              </w:rPr>
            </w:r>
            <w:r>
              <w:rPr>
                <w:sz w:val="20"/>
              </w:rPr>
              <w:t>Ağız açma-kapama</w:t>
            </w:r>
          </w:p>
        </w:tc>
        <w:tc>
          <w:tcPr>
            <w:tcW w:type="dxa" w:w="4176"/>
            <w:vAlign w:val="center"/>
          </w:tcPr>
          <w:p>
            <w:pPr>
              <w:spacing w:after="40" w:before="40"/>
            </w:pPr>
            <w:r>
              <w:rPr>
                <w:sz w:val="20"/>
              </w:rPr>
            </w:r>
            <w:r>
              <w:rPr>
                <w:sz w:val="20"/>
              </w:rPr>
              <w:t>Dudak açıklığı</w:t>
            </w:r>
          </w:p>
        </w:tc>
        <w:tc>
          <w:tcPr>
            <w:tcW w:type="dxa" w:w="3024"/>
            <w:vAlign w:val="center"/>
          </w:tcPr>
          <w:p>
            <w:pPr>
              <w:spacing w:after="40" w:before="40"/>
            </w:pPr>
            <w:r>
              <w:rPr>
                <w:sz w:val="20"/>
              </w:rPr>
            </w:r>
            <w:r>
              <w:rPr>
                <w:sz w:val="20"/>
              </w:rPr>
              <w:t>Ağız genişliğine göre</w:t>
            </w:r>
          </w:p>
        </w:tc>
      </w:tr>
      <w:tr>
        <w:tc>
          <w:tcPr>
            <w:tcW w:type="dxa" w:w="2592"/>
            <w:vAlign w:val="center"/>
            <w:shd w:val="clear" w:fill="F2F9F8"/>
          </w:tcPr>
          <w:p>
            <w:pPr>
              <w:spacing w:after="40" w:before="40"/>
            </w:pPr>
            <w:r>
              <w:rPr>
                <w:sz w:val="20"/>
              </w:rPr>
            </w:r>
            <w:r>
              <w:rPr>
                <w:sz w:val="20"/>
              </w:rPr>
              <w:t>Bacak açma (abduksiyon)</w:t>
            </w:r>
          </w:p>
        </w:tc>
        <w:tc>
          <w:tcPr>
            <w:tcW w:type="dxa" w:w="4176"/>
            <w:vAlign w:val="center"/>
            <w:shd w:val="clear" w:fill="F2F9F8"/>
          </w:tcPr>
          <w:p>
            <w:pPr>
              <w:spacing w:after="40" w:before="40"/>
            </w:pPr>
            <w:r>
              <w:rPr>
                <w:sz w:val="20"/>
              </w:rPr>
            </w:r>
            <w:r>
              <w:rPr>
                <w:sz w:val="20"/>
              </w:rPr>
              <w:t>Ayak bileğinin kalçaya yatay uzaklığı</w:t>
            </w:r>
          </w:p>
        </w:tc>
        <w:tc>
          <w:tcPr>
            <w:tcW w:type="dxa" w:w="3024"/>
            <w:vAlign w:val="center"/>
            <w:shd w:val="clear" w:fill="F2F9F8"/>
          </w:tcPr>
          <w:p>
            <w:pPr>
              <w:spacing w:after="40" w:before="40"/>
            </w:pPr>
            <w:r>
              <w:rPr>
                <w:sz w:val="20"/>
              </w:rPr>
            </w:r>
            <w:r>
              <w:rPr>
                <w:sz w:val="20"/>
              </w:rPr>
              <w:t>Kalça genişliğine göre</w:t>
            </w:r>
          </w:p>
        </w:tc>
      </w:tr>
      <w:tr>
        <w:tc>
          <w:tcPr>
            <w:tcW w:type="dxa" w:w="2592"/>
            <w:vAlign w:val="center"/>
          </w:tcPr>
          <w:p>
            <w:pPr>
              <w:spacing w:after="40" w:before="40"/>
            </w:pPr>
            <w:r>
              <w:rPr>
                <w:sz w:val="20"/>
              </w:rPr>
            </w:r>
            <w:r>
              <w:rPr>
                <w:sz w:val="20"/>
              </w:rPr>
              <w:t>Kol kaldırma</w:t>
            </w:r>
          </w:p>
        </w:tc>
        <w:tc>
          <w:tcPr>
            <w:tcW w:type="dxa" w:w="4176"/>
            <w:vAlign w:val="center"/>
          </w:tcPr>
          <w:p>
            <w:pPr>
              <w:spacing w:after="40" w:before="40"/>
            </w:pPr>
            <w:r>
              <w:rPr>
                <w:sz w:val="20"/>
              </w:rPr>
            </w:r>
            <w:r>
              <w:rPr>
                <w:sz w:val="20"/>
              </w:rPr>
              <w:t>Bileğin omuza göre yüksekliği</w:t>
            </w:r>
          </w:p>
        </w:tc>
        <w:tc>
          <w:tcPr>
            <w:tcW w:type="dxa" w:w="3024"/>
            <w:vAlign w:val="center"/>
          </w:tcPr>
          <w:p>
            <w:pPr>
              <w:spacing w:after="40" w:before="40"/>
            </w:pPr>
            <w:r>
              <w:rPr>
                <w:sz w:val="20"/>
              </w:rPr>
            </w:r>
            <w:r>
              <w:rPr>
                <w:sz w:val="20"/>
              </w:rPr>
              <w:t>Gövde boyuna göre</w:t>
            </w:r>
          </w:p>
        </w:tc>
      </w:tr>
      <w:tr>
        <w:tc>
          <w:tcPr>
            <w:tcW w:type="dxa" w:w="2592"/>
            <w:vAlign w:val="center"/>
            <w:shd w:val="clear" w:fill="F2F9F8"/>
          </w:tcPr>
          <w:p>
            <w:pPr>
              <w:spacing w:after="40" w:before="40"/>
            </w:pPr>
            <w:r>
              <w:rPr>
                <w:sz w:val="20"/>
              </w:rPr>
            </w:r>
            <w:r>
              <w:rPr>
                <w:sz w:val="20"/>
              </w:rPr>
              <w:t>Otur-kalk</w:t>
            </w:r>
          </w:p>
        </w:tc>
        <w:tc>
          <w:tcPr>
            <w:tcW w:type="dxa" w:w="4176"/>
            <w:vAlign w:val="center"/>
            <w:shd w:val="clear" w:fill="F2F9F8"/>
          </w:tcPr>
          <w:p>
            <w:pPr>
              <w:spacing w:after="40" w:before="40"/>
            </w:pPr>
            <w:r>
              <w:rPr>
                <w:sz w:val="20"/>
              </w:rPr>
            </w:r>
            <w:r>
              <w:rPr>
                <w:sz w:val="20"/>
              </w:rPr>
              <w:t>Burun–ayak bileği yüksekliği + diz açısı</w:t>
            </w:r>
          </w:p>
        </w:tc>
        <w:tc>
          <w:tcPr>
            <w:tcW w:type="dxa" w:w="3024"/>
            <w:vAlign w:val="center"/>
            <w:shd w:val="clear" w:fill="F2F9F8"/>
          </w:tcPr>
          <w:p>
            <w:pPr>
              <w:spacing w:after="40" w:before="40"/>
            </w:pPr>
            <w:r>
              <w:rPr>
                <w:sz w:val="20"/>
              </w:rPr>
            </w:r>
            <w:r>
              <w:rPr>
                <w:sz w:val="20"/>
              </w:rPr>
              <w:t>İlk 45 karede kalibre edilen referansa göre</w:t>
            </w:r>
          </w:p>
        </w:tc>
      </w:tr>
    </w:tbl>
    <w:p>
      <w:pPr>
        <w:spacing w:after="40"/>
      </w:pPr>
    </w:p>
    <w:p>
      <w:r>
        <w:rPr>
          <w:b w:val="0"/>
          <w:i w:val="0"/>
        </w:rPr>
        <w:t>Otur-kalk egzersizi özel bir durumdur: uygulama ilk ~45 karede kullanıcının ayakta referans yüksekliğini öğrenir (kalibrasyon), ardından hem gövde yüksekliğini hem de üç nokta arasındaki diz açısını (kalça–diz–ayak bileği) birlikte değerlendirerek oturma ve kalkmayı güvenilir biçimde ayırt eder.</w:t>
      </w:r>
    </w:p>
    <w:p>
      <w:pPr>
        <w:pStyle w:val="Heading2"/>
      </w:pPr>
      <w:r>
        <w:rPr>
          <w:b w:val="0"/>
          <w:i w:val="0"/>
        </w:rPr>
        <w:t>5.4 Tekrar Sayım Durum Makinesi</w:t>
      </w:r>
    </w:p>
    <w:p>
      <w:r>
        <w:rPr>
          <w:b w:val="0"/>
          <w:i w:val="0"/>
        </w:rPr>
        <w:t>Tüm egzersizler tek bir genel durum makinesiyle sayılır: hareket 'girme' (engage) eşiğini aşınca sistem 'etkin' duruma, 'bırakma' (release) eşiğine dönünce 'dinlenme' durumuna geçer; bir tam döngü (engage → release) bir tekrar sayılır. Yanlış ve çift saymayı önlemek için üç katmanlı bir gürültü koruması uygulanır:</w:t>
      </w:r>
    </w:p>
    <w:p>
      <w:pPr>
        <w:pStyle w:val="ListBullet"/>
      </w:pPr>
      <w:r>
        <w:rPr>
          <w:b/>
          <w:sz w:val="22"/>
        </w:rPr>
        <w:t xml:space="preserve">Histerezis. </w:t>
      </w:r>
      <w:r>
        <w:rPr>
          <w:sz w:val="22"/>
        </w:rPr>
        <w:t xml:space="preserve"> Girme ve bırakma için ayrı eşikler kullanılır; bu sayede sınırda tutulan bir pozisyon iki durum arasında titreşip sahte tekrar üretmez.</w:t>
      </w:r>
    </w:p>
    <w:p>
      <w:pPr>
        <w:pStyle w:val="ListBullet"/>
      </w:pPr>
      <w:r>
        <w:rPr>
          <w:b/>
          <w:sz w:val="22"/>
        </w:rPr>
        <w:t xml:space="preserve">Zamansal yumuşatma. </w:t>
      </w:r>
      <w:r>
        <w:rPr>
          <w:sz w:val="22"/>
        </w:rPr>
        <w:t xml:space="preserve"> Her metrik son 5 karenin ortalamasıyla yumuşatılır, anlık sıçramalar süzülür.</w:t>
      </w:r>
    </w:p>
    <w:p>
      <w:pPr>
        <w:pStyle w:val="ListBullet"/>
      </w:pPr>
      <w:r>
        <w:rPr>
          <w:b/>
          <w:sz w:val="22"/>
        </w:rPr>
        <w:t xml:space="preserve">Zaman tabanlı debounce. </w:t>
      </w:r>
      <w:r>
        <w:rPr>
          <w:sz w:val="22"/>
        </w:rPr>
        <w:t xml:space="preserve"> İki tekrar arasında en az 350 ms beklenir; çok hızlı tekrarlanan sahte sinyaller reddedilir.</w:t>
      </w:r>
    </w:p>
    <w:p>
      <w:r>
        <w:rPr>
          <w:b w:val="0"/>
          <w:i w:val="0"/>
        </w:rPr>
        <w:t>Ek olarak, vücut noktaları için 0,5 görünürlük (visibility) eşiği uygulanır; güvenilir biçimde görünmeyen eklemlerden okuma yapılmaz. Sol/sağ ayrımı, ayna görüntüsü bir kez düzeltilerek tüm sistemde tutarlı kullanılır; böylece sayım ve ekran etiketleri her zaman kullanıcının gerçek tarafıyla eşleşir.</w:t>
      </w:r>
    </w:p>
    <w:p>
      <w:pPr>
        <w:spacing w:after="40"/>
      </w:pPr>
      <w:r>
        <w:rPr>
          <w:b w:val="0"/>
          <w:i/>
          <w:color w:val="555555"/>
        </w:rPr>
        <w:t>Örnek eşik değerleri (normalize metrik üzerinde):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vAlign w:val="center"/>
            <w:shd w:val="clear" w:fill="0D9488"/>
          </w:tcPr>
          <w:p>
            <w:pPr>
              <w:spacing w:after="40" w:before="40"/>
            </w:pPr>
            <w:r>
              <w:rPr>
                <w:b/>
                <w:color w:val="FFFFFF"/>
                <w:sz w:val="20"/>
              </w:rPr>
            </w:r>
            <w:r>
              <w:rPr>
                <w:b/>
                <w:color w:val="FFFFFF"/>
                <w:sz w:val="20"/>
              </w:rPr>
              <w:t>Egzersiz</w:t>
            </w:r>
          </w:p>
        </w:tc>
        <w:tc>
          <w:tcPr>
            <w:tcW w:type="dxa" w:w="2016"/>
            <w:vAlign w:val="center"/>
            <w:shd w:val="clear" w:fill="0D9488"/>
          </w:tcPr>
          <w:p>
            <w:pPr>
              <w:spacing w:after="40" w:before="40"/>
            </w:pPr>
            <w:r>
              <w:rPr>
                <w:b/>
                <w:color w:val="FFFFFF"/>
                <w:sz w:val="20"/>
              </w:rPr>
            </w:r>
            <w:r>
              <w:rPr>
                <w:b/>
                <w:color w:val="FFFFFF"/>
                <w:sz w:val="20"/>
              </w:rPr>
              <w:t>Girme eşiği</w:t>
            </w:r>
          </w:p>
        </w:tc>
        <w:tc>
          <w:tcPr>
            <w:tcW w:type="dxa" w:w="2160"/>
            <w:vAlign w:val="center"/>
            <w:shd w:val="clear" w:fill="0D9488"/>
          </w:tcPr>
          <w:p>
            <w:pPr>
              <w:spacing w:after="40" w:before="40"/>
            </w:pPr>
            <w:r>
              <w:rPr>
                <w:b/>
                <w:color w:val="FFFFFF"/>
                <w:sz w:val="20"/>
              </w:rPr>
            </w:r>
            <w:r>
              <w:rPr>
                <w:b/>
                <w:color w:val="FFFFFF"/>
                <w:sz w:val="20"/>
              </w:rPr>
              <w:t>Bırakma eşiği</w:t>
            </w:r>
          </w:p>
        </w:tc>
        <w:tc>
          <w:tcPr>
            <w:tcW w:type="dxa" w:w="1872"/>
            <w:vAlign w:val="center"/>
            <w:shd w:val="clear" w:fill="0D9488"/>
          </w:tcPr>
          <w:p>
            <w:pPr>
              <w:spacing w:after="40" w:before="40"/>
            </w:pPr>
            <w:r>
              <w:rPr>
                <w:b/>
                <w:color w:val="FFFFFF"/>
                <w:sz w:val="20"/>
              </w:rPr>
            </w:r>
            <w:r>
              <w:rPr>
                <w:b/>
                <w:color w:val="FFFFFF"/>
                <w:sz w:val="20"/>
              </w:rPr>
              <w:t>Yön</w:t>
            </w:r>
          </w:p>
        </w:tc>
      </w:tr>
      <w:tr>
        <w:tc>
          <w:tcPr>
            <w:tcW w:type="dxa" w:w="3744"/>
            <w:vAlign w:val="center"/>
          </w:tcPr>
          <w:p>
            <w:pPr>
              <w:spacing w:after="40" w:before="40"/>
            </w:pPr>
            <w:r>
              <w:rPr>
                <w:sz w:val="20"/>
              </w:rPr>
            </w:r>
            <w:r>
              <w:rPr>
                <w:sz w:val="20"/>
              </w:rPr>
              <w:t>El (parmak sayısı 0–4)</w:t>
            </w:r>
          </w:p>
        </w:tc>
        <w:tc>
          <w:tcPr>
            <w:tcW w:type="dxa" w:w="2016"/>
            <w:vAlign w:val="center"/>
          </w:tcPr>
          <w:p>
            <w:pPr>
              <w:spacing w:after="40" w:before="40"/>
            </w:pPr>
            <w:r>
              <w:rPr>
                <w:sz w:val="20"/>
              </w:rPr>
            </w:r>
            <w:r>
              <w:rPr>
                <w:sz w:val="20"/>
              </w:rPr>
              <w:t>≥ 3,0</w:t>
            </w:r>
          </w:p>
        </w:tc>
        <w:tc>
          <w:tcPr>
            <w:tcW w:type="dxa" w:w="2160"/>
            <w:vAlign w:val="center"/>
          </w:tcPr>
          <w:p>
            <w:pPr>
              <w:spacing w:after="40" w:before="40"/>
            </w:pPr>
            <w:r>
              <w:rPr>
                <w:sz w:val="20"/>
              </w:rPr>
            </w:r>
            <w:r>
              <w:rPr>
                <w:sz w:val="20"/>
              </w:rPr>
              <w:t>≤ 1,5</w:t>
            </w:r>
          </w:p>
        </w:tc>
        <w:tc>
          <w:tcPr>
            <w:tcW w:type="dxa" w:w="1872"/>
            <w:vAlign w:val="center"/>
          </w:tcPr>
          <w:p>
            <w:pPr>
              <w:spacing w:after="40" w:before="40"/>
            </w:pPr>
            <w:r>
              <w:rPr>
                <w:sz w:val="20"/>
              </w:rPr>
            </w:r>
            <w:r>
              <w:rPr>
                <w:sz w:val="20"/>
              </w:rPr>
              <w:t>artan</w:t>
            </w:r>
          </w:p>
        </w:tc>
      </w:tr>
      <w:tr>
        <w:tc>
          <w:tcPr>
            <w:tcW w:type="dxa" w:w="3744"/>
            <w:vAlign w:val="center"/>
            <w:shd w:val="clear" w:fill="F2F9F8"/>
          </w:tcPr>
          <w:p>
            <w:pPr>
              <w:spacing w:after="40" w:before="40"/>
            </w:pPr>
            <w:r>
              <w:rPr>
                <w:sz w:val="20"/>
              </w:rPr>
            </w:r>
            <w:r>
              <w:rPr>
                <w:sz w:val="20"/>
              </w:rPr>
              <w:t>Ağız (açıklık/genişlik)</w:t>
            </w:r>
          </w:p>
        </w:tc>
        <w:tc>
          <w:tcPr>
            <w:tcW w:type="dxa" w:w="2016"/>
            <w:vAlign w:val="center"/>
            <w:shd w:val="clear" w:fill="F2F9F8"/>
          </w:tcPr>
          <w:p>
            <w:pPr>
              <w:spacing w:after="40" w:before="40"/>
            </w:pPr>
            <w:r>
              <w:rPr>
                <w:sz w:val="20"/>
              </w:rPr>
            </w:r>
            <w:r>
              <w:rPr>
                <w:sz w:val="20"/>
              </w:rPr>
              <w:t>≥ 0,45</w:t>
            </w:r>
          </w:p>
        </w:tc>
        <w:tc>
          <w:tcPr>
            <w:tcW w:type="dxa" w:w="2160"/>
            <w:vAlign w:val="center"/>
            <w:shd w:val="clear" w:fill="F2F9F8"/>
          </w:tcPr>
          <w:p>
            <w:pPr>
              <w:spacing w:after="40" w:before="40"/>
            </w:pPr>
            <w:r>
              <w:rPr>
                <w:sz w:val="20"/>
              </w:rPr>
            </w:r>
            <w:r>
              <w:rPr>
                <w:sz w:val="20"/>
              </w:rPr>
              <w:t>≤ 0,25</w:t>
            </w:r>
          </w:p>
        </w:tc>
        <w:tc>
          <w:tcPr>
            <w:tcW w:type="dxa" w:w="1872"/>
            <w:vAlign w:val="center"/>
            <w:shd w:val="clear" w:fill="F2F9F8"/>
          </w:tcPr>
          <w:p>
            <w:pPr>
              <w:spacing w:after="40" w:before="40"/>
            </w:pPr>
            <w:r>
              <w:rPr>
                <w:sz w:val="20"/>
              </w:rPr>
            </w:r>
            <w:r>
              <w:rPr>
                <w:sz w:val="20"/>
              </w:rPr>
              <w:t>artan</w:t>
            </w:r>
          </w:p>
        </w:tc>
      </w:tr>
      <w:tr>
        <w:tc>
          <w:tcPr>
            <w:tcW w:type="dxa" w:w="3744"/>
            <w:vAlign w:val="center"/>
          </w:tcPr>
          <w:p>
            <w:pPr>
              <w:spacing w:after="40" w:before="40"/>
            </w:pPr>
            <w:r>
              <w:rPr>
                <w:sz w:val="20"/>
              </w:rPr>
            </w:r>
            <w:r>
              <w:rPr>
                <w:sz w:val="20"/>
              </w:rPr>
              <w:t>Göz (EAR; kapalı = düşük)</w:t>
            </w:r>
          </w:p>
        </w:tc>
        <w:tc>
          <w:tcPr>
            <w:tcW w:type="dxa" w:w="2016"/>
            <w:vAlign w:val="center"/>
          </w:tcPr>
          <w:p>
            <w:pPr>
              <w:spacing w:after="40" w:before="40"/>
            </w:pPr>
            <w:r>
              <w:rPr>
                <w:sz w:val="20"/>
              </w:rPr>
            </w:r>
            <w:r>
              <w:rPr>
                <w:sz w:val="20"/>
              </w:rPr>
              <w:t>≤ 0,16</w:t>
            </w:r>
          </w:p>
        </w:tc>
        <w:tc>
          <w:tcPr>
            <w:tcW w:type="dxa" w:w="2160"/>
            <w:vAlign w:val="center"/>
          </w:tcPr>
          <w:p>
            <w:pPr>
              <w:spacing w:after="40" w:before="40"/>
            </w:pPr>
            <w:r>
              <w:rPr>
                <w:sz w:val="20"/>
              </w:rPr>
            </w:r>
            <w:r>
              <w:rPr>
                <w:sz w:val="20"/>
              </w:rPr>
              <w:t>≥ 0,26</w:t>
            </w:r>
          </w:p>
        </w:tc>
        <w:tc>
          <w:tcPr>
            <w:tcW w:type="dxa" w:w="1872"/>
            <w:vAlign w:val="center"/>
          </w:tcPr>
          <w:p>
            <w:pPr>
              <w:spacing w:after="40" w:before="40"/>
            </w:pPr>
            <w:r>
              <w:rPr>
                <w:sz w:val="20"/>
              </w:rPr>
            </w:r>
            <w:r>
              <w:rPr>
                <w:sz w:val="20"/>
              </w:rPr>
              <w:t>azalan</w:t>
            </w:r>
          </w:p>
        </w:tc>
      </w:tr>
      <w:tr>
        <w:tc>
          <w:tcPr>
            <w:tcW w:type="dxa" w:w="3744"/>
            <w:vAlign w:val="center"/>
            <w:shd w:val="clear" w:fill="F2F9F8"/>
          </w:tcPr>
          <w:p>
            <w:pPr>
              <w:spacing w:after="40" w:before="40"/>
            </w:pPr>
            <w:r>
              <w:rPr>
                <w:sz w:val="20"/>
              </w:rPr>
            </w:r>
            <w:r>
              <w:rPr>
                <w:sz w:val="20"/>
              </w:rPr>
              <w:t>Bacak (offset/kalça)</w:t>
            </w:r>
          </w:p>
        </w:tc>
        <w:tc>
          <w:tcPr>
            <w:tcW w:type="dxa" w:w="2016"/>
            <w:vAlign w:val="center"/>
            <w:shd w:val="clear" w:fill="F2F9F8"/>
          </w:tcPr>
          <w:p>
            <w:pPr>
              <w:spacing w:after="40" w:before="40"/>
            </w:pPr>
            <w:r>
              <w:rPr>
                <w:sz w:val="20"/>
              </w:rPr>
            </w:r>
            <w:r>
              <w:rPr>
                <w:sz w:val="20"/>
              </w:rPr>
              <w:t>≥ 0,85</w:t>
            </w:r>
          </w:p>
        </w:tc>
        <w:tc>
          <w:tcPr>
            <w:tcW w:type="dxa" w:w="2160"/>
            <w:vAlign w:val="center"/>
            <w:shd w:val="clear" w:fill="F2F9F8"/>
          </w:tcPr>
          <w:p>
            <w:pPr>
              <w:spacing w:after="40" w:before="40"/>
            </w:pPr>
            <w:r>
              <w:rPr>
                <w:sz w:val="20"/>
              </w:rPr>
            </w:r>
            <w:r>
              <w:rPr>
                <w:sz w:val="20"/>
              </w:rPr>
              <w:t>≤ 0,45</w:t>
            </w:r>
          </w:p>
        </w:tc>
        <w:tc>
          <w:tcPr>
            <w:tcW w:type="dxa" w:w="1872"/>
            <w:vAlign w:val="center"/>
            <w:shd w:val="clear" w:fill="F2F9F8"/>
          </w:tcPr>
          <w:p>
            <w:pPr>
              <w:spacing w:after="40" w:before="40"/>
            </w:pPr>
            <w:r>
              <w:rPr>
                <w:sz w:val="20"/>
              </w:rPr>
            </w:r>
            <w:r>
              <w:rPr>
                <w:sz w:val="20"/>
              </w:rPr>
              <w:t>artan</w:t>
            </w:r>
          </w:p>
        </w:tc>
      </w:tr>
      <w:tr>
        <w:tc>
          <w:tcPr>
            <w:tcW w:type="dxa" w:w="3744"/>
            <w:vAlign w:val="center"/>
          </w:tcPr>
          <w:p>
            <w:pPr>
              <w:spacing w:after="40" w:before="40"/>
            </w:pPr>
            <w:r>
              <w:rPr>
                <w:sz w:val="20"/>
              </w:rPr>
            </w:r>
            <w:r>
              <w:rPr>
                <w:sz w:val="20"/>
              </w:rPr>
              <w:t>Kol (yükseklik/gövde)</w:t>
            </w:r>
          </w:p>
        </w:tc>
        <w:tc>
          <w:tcPr>
            <w:tcW w:type="dxa" w:w="2016"/>
            <w:vAlign w:val="center"/>
          </w:tcPr>
          <w:p>
            <w:pPr>
              <w:spacing w:after="40" w:before="40"/>
            </w:pPr>
            <w:r>
              <w:rPr>
                <w:sz w:val="20"/>
              </w:rPr>
            </w:r>
            <w:r>
              <w:rPr>
                <w:sz w:val="20"/>
              </w:rPr>
              <w:t>≥ 0,28</w:t>
            </w:r>
          </w:p>
        </w:tc>
        <w:tc>
          <w:tcPr>
            <w:tcW w:type="dxa" w:w="2160"/>
            <w:vAlign w:val="center"/>
          </w:tcPr>
          <w:p>
            <w:pPr>
              <w:spacing w:after="40" w:before="40"/>
            </w:pPr>
            <w:r>
              <w:rPr>
                <w:sz w:val="20"/>
              </w:rPr>
            </w:r>
            <w:r>
              <w:rPr>
                <w:sz w:val="20"/>
              </w:rPr>
              <w:t>≤ 0,05</w:t>
            </w:r>
          </w:p>
        </w:tc>
        <w:tc>
          <w:tcPr>
            <w:tcW w:type="dxa" w:w="1872"/>
            <w:vAlign w:val="center"/>
          </w:tcPr>
          <w:p>
            <w:pPr>
              <w:spacing w:after="40" w:before="40"/>
            </w:pPr>
            <w:r>
              <w:rPr>
                <w:sz w:val="20"/>
              </w:rPr>
            </w:r>
            <w:r>
              <w:rPr>
                <w:sz w:val="20"/>
              </w:rPr>
              <w:t>artan</w:t>
            </w:r>
          </w:p>
        </w:tc>
      </w:tr>
    </w:tbl>
    <w:p>
      <w:pPr>
        <w:spacing w:after="40"/>
      </w:pPr>
    </w:p>
    <w:p>
      <w:pPr>
        <w:pStyle w:val="Heading2"/>
      </w:pPr>
      <w:r>
        <w:rPr>
          <w:b w:val="0"/>
          <w:i w:val="0"/>
        </w:rPr>
        <w:t>5.5 Kanıt-Temelli Kişiselleştirme Motoru</w:t>
      </w:r>
    </w:p>
    <w:p>
      <w:r>
        <w:rPr>
          <w:b w:val="0"/>
          <w:i w:val="0"/>
        </w:rPr>
        <w:t>Sunucu tarafında, kural-tabanlı bir motor (program_engine.py) klinik kılavuzlardan derlenmiş bir bilgi tabanını (programs.json) okuyarak kullanıcıya özel program üretir. Duruma göre egzersiz seti seçilir; başlangıç tekrar hedefleri ise yaş kademelerine göre ölçeklenir. Bu ölçekleme, ACSM'in bireysel-ilerleme ilkesine dayanır:</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val="clear" w:fill="0D9488"/>
          </w:tcPr>
          <w:p>
            <w:pPr>
              <w:spacing w:after="40" w:before="40"/>
            </w:pPr>
            <w:r>
              <w:rPr>
                <w:b/>
                <w:color w:val="FFFFFF"/>
                <w:sz w:val="20"/>
              </w:rPr>
            </w:r>
            <w:r>
              <w:rPr>
                <w:b/>
                <w:color w:val="FFFFFF"/>
                <w:sz w:val="20"/>
              </w:rPr>
              <w:t>Yaş aralığı</w:t>
            </w:r>
          </w:p>
        </w:tc>
        <w:tc>
          <w:tcPr>
            <w:tcW w:type="dxa" w:w="3168"/>
            <w:vAlign w:val="center"/>
            <w:shd w:val="clear" w:fill="0D9488"/>
          </w:tcPr>
          <w:p>
            <w:pPr>
              <w:spacing w:after="40" w:before="40"/>
            </w:pPr>
            <w:r>
              <w:rPr>
                <w:b/>
                <w:color w:val="FFFFFF"/>
                <w:sz w:val="20"/>
              </w:rPr>
            </w:r>
            <w:r>
              <w:rPr>
                <w:b/>
                <w:color w:val="FFFFFF"/>
                <w:sz w:val="20"/>
              </w:rPr>
              <w:t>Seviye</w:t>
            </w:r>
          </w:p>
        </w:tc>
        <w:tc>
          <w:tcPr>
            <w:tcW w:type="dxa" w:w="2880"/>
            <w:vAlign w:val="center"/>
            <w:shd w:val="clear" w:fill="0D9488"/>
          </w:tcPr>
          <w:p>
            <w:pPr>
              <w:spacing w:after="40" w:before="40"/>
            </w:pPr>
            <w:r>
              <w:rPr>
                <w:b/>
                <w:color w:val="FFFFFF"/>
                <w:sz w:val="20"/>
              </w:rPr>
            </w:r>
            <w:r>
              <w:rPr>
                <w:b/>
                <w:color w:val="FFFFFF"/>
                <w:sz w:val="20"/>
              </w:rPr>
              <w:t>Tekrar çarpanı</w:t>
            </w:r>
          </w:p>
        </w:tc>
      </w:tr>
      <w:tr>
        <w:tc>
          <w:tcPr>
            <w:tcW w:type="dxa" w:w="3168"/>
            <w:vAlign w:val="center"/>
          </w:tcPr>
          <w:p>
            <w:pPr>
              <w:spacing w:after="40" w:before="40"/>
            </w:pPr>
            <w:r>
              <w:rPr>
                <w:sz w:val="20"/>
              </w:rPr>
            </w:r>
            <w:r>
              <w:rPr>
                <w:sz w:val="20"/>
              </w:rPr>
              <w:t>≤ 59</w:t>
            </w:r>
          </w:p>
        </w:tc>
        <w:tc>
          <w:tcPr>
            <w:tcW w:type="dxa" w:w="3168"/>
            <w:vAlign w:val="center"/>
          </w:tcPr>
          <w:p>
            <w:pPr>
              <w:spacing w:after="40" w:before="40"/>
            </w:pPr>
            <w:r>
              <w:rPr>
                <w:sz w:val="20"/>
              </w:rPr>
            </w:r>
            <w:r>
              <w:rPr>
                <w:sz w:val="20"/>
              </w:rPr>
              <w:t>Standart</w:t>
            </w:r>
          </w:p>
        </w:tc>
        <w:tc>
          <w:tcPr>
            <w:tcW w:type="dxa" w:w="2880"/>
            <w:vAlign w:val="center"/>
          </w:tcPr>
          <w:p>
            <w:pPr>
              <w:spacing w:after="40" w:before="40"/>
            </w:pPr>
            <w:r>
              <w:rPr>
                <w:sz w:val="20"/>
              </w:rPr>
            </w:r>
            <w:r>
              <w:rPr>
                <w:sz w:val="20"/>
              </w:rPr>
              <w:t>× 1,0</w:t>
            </w:r>
          </w:p>
        </w:tc>
      </w:tr>
      <w:tr>
        <w:tc>
          <w:tcPr>
            <w:tcW w:type="dxa" w:w="3168"/>
            <w:vAlign w:val="center"/>
            <w:shd w:val="clear" w:fill="F2F9F8"/>
          </w:tcPr>
          <w:p>
            <w:pPr>
              <w:spacing w:after="40" w:before="40"/>
            </w:pPr>
            <w:r>
              <w:rPr>
                <w:sz w:val="20"/>
              </w:rPr>
            </w:r>
            <w:r>
              <w:rPr>
                <w:sz w:val="20"/>
              </w:rPr>
              <w:t>60 – 74</w:t>
            </w:r>
          </w:p>
        </w:tc>
        <w:tc>
          <w:tcPr>
            <w:tcW w:type="dxa" w:w="3168"/>
            <w:vAlign w:val="center"/>
            <w:shd w:val="clear" w:fill="F2F9F8"/>
          </w:tcPr>
          <w:p>
            <w:pPr>
              <w:spacing w:after="40" w:before="40"/>
            </w:pPr>
            <w:r>
              <w:rPr>
                <w:sz w:val="20"/>
              </w:rPr>
            </w:r>
            <w:r>
              <w:rPr>
                <w:sz w:val="20"/>
              </w:rPr>
              <w:t>Orta</w:t>
            </w:r>
          </w:p>
        </w:tc>
        <w:tc>
          <w:tcPr>
            <w:tcW w:type="dxa" w:w="2880"/>
            <w:vAlign w:val="center"/>
            <w:shd w:val="clear" w:fill="F2F9F8"/>
          </w:tcPr>
          <w:p>
            <w:pPr>
              <w:spacing w:after="40" w:before="40"/>
            </w:pPr>
            <w:r>
              <w:rPr>
                <w:sz w:val="20"/>
              </w:rPr>
            </w:r>
            <w:r>
              <w:rPr>
                <w:sz w:val="20"/>
              </w:rPr>
              <w:t>× 0,8</w:t>
            </w:r>
          </w:p>
        </w:tc>
      </w:tr>
      <w:tr>
        <w:tc>
          <w:tcPr>
            <w:tcW w:type="dxa" w:w="3168"/>
            <w:vAlign w:val="center"/>
          </w:tcPr>
          <w:p>
            <w:pPr>
              <w:spacing w:after="40" w:before="40"/>
            </w:pPr>
            <w:r>
              <w:rPr>
                <w:sz w:val="20"/>
              </w:rPr>
            </w:r>
            <w:r>
              <w:rPr>
                <w:sz w:val="20"/>
              </w:rPr>
              <w:t>75 ve üzeri</w:t>
            </w:r>
          </w:p>
        </w:tc>
        <w:tc>
          <w:tcPr>
            <w:tcW w:type="dxa" w:w="3168"/>
            <w:vAlign w:val="center"/>
          </w:tcPr>
          <w:p>
            <w:pPr>
              <w:spacing w:after="40" w:before="40"/>
            </w:pPr>
            <w:r>
              <w:rPr>
                <w:sz w:val="20"/>
              </w:rPr>
            </w:r>
            <w:r>
              <w:rPr>
                <w:sz w:val="20"/>
              </w:rPr>
              <w:t>Nazik</w:t>
            </w:r>
          </w:p>
        </w:tc>
        <w:tc>
          <w:tcPr>
            <w:tcW w:type="dxa" w:w="2880"/>
            <w:vAlign w:val="center"/>
          </w:tcPr>
          <w:p>
            <w:pPr>
              <w:spacing w:after="40" w:before="40"/>
            </w:pPr>
            <w:r>
              <w:rPr>
                <w:sz w:val="20"/>
              </w:rPr>
            </w:r>
            <w:r>
              <w:rPr>
                <w:sz w:val="20"/>
              </w:rPr>
              <w:t>× 0,6</w:t>
            </w:r>
          </w:p>
        </w:tc>
      </w:tr>
    </w:tbl>
    <w:p>
      <w:pPr>
        <w:spacing w:after="40"/>
      </w:pPr>
    </w:p>
    <w:p>
      <w:r>
        <w:rPr>
          <w:b w:val="0"/>
          <w:i w:val="0"/>
        </w:rPr>
        <w:t>Minimum tekrar sayısı 3 ile sınırlandırılır; böylece çok ileri yaşta bile anlamlı bir egzersiz dozu korunur. Cinsiyet bilgisi kaydedilir ancak egzersiz seçimini değiştirmez — bu, mevcut kanıtların bu durumlar için cinsiyete özel seçimi desteklememesi nedeniyle bilinçli bir tasarım kararıdır. Tekrar hedefleri tıbbi bir reçete değil, klinik kılavuzlardan türetilmiş ve bir uzmanla gözden geçirilmesi önerilen başlangıç noktalarıdır.</w:t>
      </w:r>
    </w:p>
    <w:p>
      <w:pPr>
        <w:pStyle w:val="Heading2"/>
      </w:pPr>
      <w:r>
        <w:rPr>
          <w:b w:val="0"/>
          <w:i w:val="0"/>
        </w:rPr>
        <w:t>5.6 Hareket-Kalite Analizi ve Seans Raporu</w:t>
      </w:r>
    </w:p>
    <w:p>
      <w:r>
        <w:rPr>
          <w:b w:val="0"/>
          <w:i w:val="0"/>
        </w:rPr>
        <w:t>ViMove yalnızca tekrar saymakla kalmaz; her tekrarın tepe genliğini (hareket açıklığı, ROM) ve süresini kaydeder ve seans sonunda kişiye özel, kanıtla ilişkili bir hareket-kalite raporu üretir. Hesaplanan başlıca göstergeler:</w:t>
      </w:r>
    </w:p>
    <w:p>
      <w:pPr>
        <w:pStyle w:val="ListBullet"/>
      </w:pPr>
      <w:r>
        <w:rPr>
          <w:b/>
          <w:sz w:val="22"/>
        </w:rPr>
        <w:t xml:space="preserve">Tutarlılık (1 − CV). </w:t>
      </w:r>
      <w:r>
        <w:rPr>
          <w:sz w:val="22"/>
        </w:rPr>
        <w:t xml:space="preserve"> Tepe genliklerin değişim katsayısından (CV) türetilir; hareketin ne kadar tutarlı yapıldığını gösterir.</w:t>
      </w:r>
    </w:p>
    <w:p>
      <w:pPr>
        <w:pStyle w:val="ListBullet"/>
      </w:pPr>
      <w:r>
        <w:rPr>
          <w:b/>
          <w:sz w:val="22"/>
        </w:rPr>
        <w:t xml:space="preserve">Tempo. </w:t>
      </w:r>
      <w:r>
        <w:rPr>
          <w:sz w:val="22"/>
        </w:rPr>
        <w:t xml:space="preserve"> Tekrar başına ortalama süre; hareketin temposunu yansıtır.</w:t>
      </w:r>
    </w:p>
    <w:p>
      <w:pPr>
        <w:pStyle w:val="ListBullet"/>
      </w:pPr>
      <w:r>
        <w:rPr>
          <w:b/>
          <w:sz w:val="22"/>
        </w:rPr>
        <w:t xml:space="preserve">Azalma (decrement). </w:t>
      </w:r>
      <w:r>
        <w:rPr>
          <w:sz w:val="22"/>
        </w:rPr>
        <w:t xml:space="preserve"> Setin ilk üçte biri ile son üçte biri karşılaştırılır; Parkinson'da sık görülen 'sequence effect' (set boyunca hareketin küçülmesi) tespit edilir.</w:t>
      </w:r>
    </w:p>
    <w:p>
      <w:pPr>
        <w:pStyle w:val="ListBullet"/>
      </w:pPr>
      <w:r>
        <w:rPr>
          <w:b/>
          <w:sz w:val="22"/>
        </w:rPr>
        <w:t xml:space="preserve">Sol/sağ simetri. </w:t>
      </w:r>
      <w:r>
        <w:rPr>
          <w:sz w:val="22"/>
        </w:rPr>
        <w:t xml:space="preserve"> Eşlenik (sol/sağ) hareketlerde genlik farkı 1 − |R−L|/(R+L) ile ölçülür; asimetri uyarısı verir.</w:t>
      </w:r>
    </w:p>
    <w:p>
      <w:r>
        <w:rPr>
          <w:b w:val="0"/>
          <w:i w:val="0"/>
        </w:rPr>
        <w:t>Bu göstergeler, tamamlanma oranı, ortalama tutarlılık ve ortalama simetriden 100 üzerinden bir genel skora dönüştürülür. Sistem; %80'in altındaki simetri, %20 ve üzeri genlik azalması veya %55'in altındaki tutarlılık gibi durumlarda kullanıcıyı bilgilendiren notlar üretir. Önemle vurgulanır ki bu özet, kameraya dayalı bir öz-izleme taramasıdır; klinik bir ölçüm ya da teşhis değildir ve en çok kişinin kendi geçmiş seanslarıyla kıyaslandığında anlamlıdır.</w:t>
      </w:r>
    </w:p>
    <w:p>
      <w:pPr>
        <w:pStyle w:val="Heading2"/>
      </w:pPr>
      <w:r>
        <w:rPr>
          <w:b w:val="0"/>
          <w:i w:val="0"/>
        </w:rPr>
        <w:t>5.7 İlerleme Takibi</w:t>
      </w:r>
    </w:p>
    <w:p>
      <w:r>
        <w:rPr>
          <w:b w:val="0"/>
          <w:i w:val="0"/>
        </w:rPr>
        <w:t>Tamamlanan her seans, tarayıcının localStorage alanına özetlenerek kaydedilir ve ayrı bir ilerleme panosunda (genel skor, sol/sağ simetri ve seans başına tekrar) zaman içindeki eğilim grafikleriyle gösterilir. Tüm bu veriler cihazda kalır; herhangi bir sunucuya gönderilmez.</w:t>
      </w:r>
    </w:p>
    <w:p>
      <w:pPr>
        <w:pStyle w:val="Heading2"/>
      </w:pPr>
      <w:r>
        <w:rPr>
          <w:b w:val="0"/>
          <w:i w:val="0"/>
        </w:rPr>
        <w:t>5.8 Gizlilik ve Güvenlik</w:t>
      </w:r>
    </w:p>
    <w:p>
      <w:pPr>
        <w:pStyle w:val="ListBullet"/>
      </w:pPr>
      <w:r>
        <w:rPr>
          <w:b/>
          <w:sz w:val="22"/>
        </w:rPr>
        <w:t xml:space="preserve">Cihaz-içi işleme. </w:t>
      </w:r>
      <w:r>
        <w:rPr>
          <w:sz w:val="22"/>
        </w:rPr>
        <w:t xml:space="preserve"> Tüm görü işleme tarayıcıda yapılır; kamera akışı cihazdan asla çıkmaz.</w:t>
      </w:r>
    </w:p>
    <w:p>
      <w:pPr>
        <w:pStyle w:val="ListBullet"/>
      </w:pPr>
      <w:r>
        <w:rPr>
          <w:b/>
          <w:sz w:val="22"/>
        </w:rPr>
        <w:t xml:space="preserve">Güvenlik başlıkları. </w:t>
      </w:r>
      <w:r>
        <w:rPr>
          <w:sz w:val="22"/>
        </w:rPr>
        <w:t xml:space="preserve"> Katı bir İçerik Güvenlik Politikası (CSP) ve güvenlik başlıkları (X-Content-Type-Options, X-Frame-Options, Referrer-Policy) tanımlanmıştır.</w:t>
      </w:r>
    </w:p>
    <w:p>
      <w:pPr>
        <w:pStyle w:val="ListBullet"/>
      </w:pPr>
      <w:r>
        <w:rPr>
          <w:b/>
          <w:sz w:val="22"/>
        </w:rPr>
        <w:t xml:space="preserve">Veri minimizasyonu. </w:t>
      </w:r>
      <w:r>
        <w:rPr>
          <w:sz w:val="22"/>
        </w:rPr>
        <w:t xml:space="preserve"> İlerleme verisi yalnızca kullanıcının cihazında saklanır; merkezî bir veritabanı yoktur.</w:t>
      </w:r>
    </w:p>
    <w:p>
      <w:pPr>
        <w:pStyle w:val="Heading2"/>
      </w:pPr>
      <w:r>
        <w:rPr>
          <w:b w:val="0"/>
          <w:i w:val="0"/>
        </w:rPr>
        <w:t>5.9 Erişilebilirlik ve Yardımcı Teknoloji</w:t>
      </w:r>
    </w:p>
    <w:p>
      <w:r>
        <w:rPr>
          <w:b w:val="0"/>
          <w:i w:val="0"/>
        </w:rPr>
        <w:t>ViMove en baştan yaşlı ve engelli kullanıcılar düşünülerek tasarlanmıştır:</w:t>
      </w:r>
    </w:p>
    <w:p>
      <w:pPr>
        <w:pStyle w:val="ListBullet"/>
      </w:pPr>
      <w:r>
        <w:rPr>
          <w:b/>
          <w:sz w:val="22"/>
        </w:rPr>
        <w:t xml:space="preserve">Sesli yönlendirme. </w:t>
      </w:r>
      <w:r>
        <w:rPr>
          <w:sz w:val="22"/>
        </w:rPr>
        <w:t xml:space="preserve"> Web Speech API üzerinden, egzersiz adları, yönergeler ve tekrar sayıları sesli olarak okunur (Türkçe/İngilizce). Görme engelli kullanıcılar ekranı görmeden de seansı takip edebilir.</w:t>
      </w:r>
    </w:p>
    <w:p>
      <w:pPr>
        <w:pStyle w:val="ListBullet"/>
      </w:pPr>
      <w:r>
        <w:rPr>
          <w:b/>
          <w:sz w:val="22"/>
        </w:rPr>
        <w:t xml:space="preserve">Görsel erişilebilirlik. </w:t>
      </w:r>
      <w:r>
        <w:rPr>
          <w:sz w:val="22"/>
        </w:rPr>
        <w:t xml:space="preserve"> Büyük yazı tipi, yüksek kontrast ve geniş dokunma alanları titremesi olan ve düşük görüşlü kullanıcılar için uygundur.</w:t>
      </w:r>
    </w:p>
    <w:p>
      <w:pPr>
        <w:pStyle w:val="ListBullet"/>
      </w:pPr>
      <w:r>
        <w:rPr>
          <w:b/>
          <w:sz w:val="22"/>
        </w:rPr>
        <w:t xml:space="preserve">Çok dillilik. </w:t>
      </w:r>
      <w:r>
        <w:rPr>
          <w:sz w:val="22"/>
        </w:rPr>
        <w:t xml:space="preserve"> Arayüz Türkçe ve İngilizce arasında anında değişebilir; tarayıcı diline göre varsayılan seçilir.</w:t>
      </w:r>
    </w:p>
    <w:p>
      <w:r>
        <w:br w:type="page"/>
      </w:r>
    </w:p>
    <w:p>
      <w:pPr>
        <w:pStyle w:val="Heading1"/>
      </w:pPr>
      <w:r>
        <w:rPr>
          <w:b w:val="0"/>
          <w:i w:val="0"/>
        </w:rPr>
        <w:t>6. Klinik Temel ve Kanıt</w:t>
      </w:r>
    </w:p>
    <w:p>
      <w:r>
        <w:rPr>
          <w:b w:val="0"/>
          <w:i w:val="0"/>
        </w:rPr>
        <w:t>ViMove'daki egzersiz seçimleri ve başlangıç tekrar hedefleri 'havada' değil, yayımlanmış klinik kılavuzlara dayandırılmıştır. Her program için kaynaklar uygulama içinde de şeffaf biçimde gösterilir. Aşağıda programların klinik dayanakları özetlenmiştir.</w:t>
      </w:r>
    </w:p>
    <w:p>
      <w:pPr>
        <w:pStyle w:val="Heading3"/>
      </w:pPr>
      <w:r>
        <w:rPr>
          <w:b w:val="0"/>
          <w:i w:val="0"/>
        </w:rPr>
        <w:t>6.1 Parkinson Hastalığı</w:t>
      </w:r>
    </w:p>
    <w:p>
      <w:r>
        <w:rPr>
          <w:b w:val="0"/>
          <w:i w:val="0"/>
        </w:rPr>
        <w:t>Bradikinezi ve hipokineziyi karşılamak için büyük genlikli hareketler (LSVT BIG yaklaşımı), kuvvet, denge ve hipomimi için yüz mobilitesi. Kaynaklar: Parkinson's Foundation &amp; ACSM egzersiz önerileri (FITT-VP, 2022); LSVT-BIG genlik terapisi (BMC Neurology, 2020).</w:t>
      </w:r>
    </w:p>
    <w:p>
      <w:pPr>
        <w:pStyle w:val="Heading3"/>
      </w:pPr>
      <w:r>
        <w:rPr>
          <w:b w:val="0"/>
          <w:i w:val="0"/>
        </w:rPr>
        <w:t>6.2 İnme Sonrası Rehabilitasyon</w:t>
      </w:r>
    </w:p>
    <w:p>
      <w:r>
        <w:rPr>
          <w:b w:val="0"/>
          <w:i w:val="0"/>
        </w:rPr>
        <w:t>Nöroplastisiteyi tetikleyen yüksek tekrarlı, göreve özel pratik; üst ekstremite kavrama/uzanma, alt ekstremite otur-kalk ve yüz nöromusküler yeniden eğitimi. Kaynaklar: AHA/ASA İnme Rehabilitasyonu Kılavuzu; görsel geri bildirimli otur-kalk RKÇ (2021).</w:t>
      </w:r>
    </w:p>
    <w:p>
      <w:pPr>
        <w:pStyle w:val="Heading3"/>
      </w:pPr>
      <w:r>
        <w:rPr>
          <w:b w:val="0"/>
          <w:i w:val="0"/>
        </w:rPr>
        <w:t>6.3 Osteoartrit &amp; Eklem Mobilitesi</w:t>
      </w:r>
    </w:p>
    <w:p>
      <w:r>
        <w:rPr>
          <w:b w:val="0"/>
          <w:i w:val="0"/>
        </w:rPr>
        <w:t>Eklem hareket açıklığı/esneklik ve etkilenen eklemlerin düşük yüklü kuvvetlendirilmesi, ağrısız aralıkta. Kaynaklar: OARSI yönetim kılavuzları; 2019 ACR / Arthritis Foundation OA kılavuzu.</w:t>
      </w:r>
    </w:p>
    <w:p>
      <w:pPr>
        <w:pStyle w:val="Heading3"/>
      </w:pPr>
      <w:r>
        <w:rPr>
          <w:b w:val="0"/>
          <w:i w:val="0"/>
        </w:rPr>
        <w:t>6.4 Denge &amp; Düşme Önleme</w:t>
      </w:r>
    </w:p>
    <w:p>
      <w:r>
        <w:rPr>
          <w:b w:val="0"/>
          <w:i w:val="0"/>
        </w:rPr>
        <w:t>Alt ekstremite kuvvetlendirme (otur-kalk ile kuadriseps, kalça abduktörleri) — düşmeleri yaklaşık %35 azalttığı gösterilen Otago Egzersiz Programı'nın kuvvet çekirdeği. Kaynaklar: Otago Egzersiz Programı el kitabı (ACC); Otago sistematik derlemesi; WHO fiziksel aktivite kılavuzu.</w:t>
      </w:r>
    </w:p>
    <w:p>
      <w:pPr>
        <w:pStyle w:val="Heading3"/>
      </w:pPr>
      <w:r>
        <w:rPr>
          <w:b w:val="0"/>
          <w:i w:val="0"/>
        </w:rPr>
        <w:t>6.5 Genel Yaşlı Kondisyonu</w:t>
      </w:r>
    </w:p>
    <w:p>
      <w:r>
        <w:rPr>
          <w:b w:val="0"/>
          <w:i w:val="0"/>
        </w:rPr>
        <w:t>Tüm büyük kas gruplarını çalıştıran çok bileşenli aktivite — 65+ yetişkinler için WHO fiziksel aktivite önerisiyle uyumlu. Kaynak: WHO Fiziksel Aktivite ve Hareketsiz Davranış Kılavuzları (2020).</w:t>
      </w:r>
    </w:p>
    <w:p>
      <w:r>
        <w:br w:type="page"/>
      </w:r>
    </w:p>
    <w:p>
      <w:pPr>
        <w:pStyle w:val="Heading1"/>
      </w:pPr>
      <w:r>
        <w:rPr>
          <w:b w:val="0"/>
          <w:i w:val="0"/>
        </w:rPr>
        <w:t>7. Saha Testleri ve Değerlendirme</w:t>
      </w:r>
    </w:p>
    <w:p>
      <w:r>
        <w:rPr>
          <w:b w:val="0"/>
          <w:i w:val="0"/>
        </w:rPr>
        <w:t>Çözümün uygulanabilirliğini ve özgünlüğünü ölçmek için süreç boyunca öncesinde, sırasında ve sonrasında olmak üzere üç aşamalı bir değerlendirme yürütülmüştür.</w:t>
      </w:r>
    </w:p>
    <w:p>
      <w:pPr>
        <w:pStyle w:val="Heading2"/>
      </w:pPr>
      <w:r>
        <w:rPr>
          <w:b w:val="0"/>
          <w:i w:val="0"/>
        </w:rPr>
        <w:t>7.1 Öncesinde — Özgünlük ve İhtiyaç Analizi</w:t>
      </w:r>
    </w:p>
    <w:p>
      <w:r>
        <w:rPr>
          <w:b w:val="0"/>
          <w:i w:val="0"/>
        </w:rPr>
        <w:t>Geliştirmeye başlamadan önce mevcut çözümler (pahalı klinik seansları, kurulum gerektiren uygulamalar, geri bildirim vermeyen pasif video kütüphaneleri) incelenmiş ve ViMove'u ayıran değer netleştirilmiştir: tarayıcıda, kurulumsuz, görüntüyü cihazdan çıkarmadan çalışan ve tekrarı yapay zekâyla doğrulayıp sayan, görme engellilerin de kullanabildiği bir araç. Egzersiz seçimleri ve dozları, baştan itibaren yayımlanmış klinik kılavuzlara dayandırılmıştır.</w:t>
      </w:r>
    </w:p>
    <w:p>
      <w:pPr>
        <w:pStyle w:val="Heading2"/>
      </w:pPr>
      <w:r>
        <w:rPr>
          <w:b w:val="0"/>
          <w:i w:val="0"/>
        </w:rPr>
        <w:t>7.2 Sırasında — Teknik Doğrulama</w:t>
      </w:r>
    </w:p>
    <w:p>
      <w:r>
        <w:rPr>
          <w:b w:val="0"/>
          <w:i w:val="0"/>
        </w:rPr>
        <w:t>Geliştirme boyunca hareket takibi farklı cihaz (dizüstü, tablet, telefon), ışık ve oda koşullarında test edilmiştir. Bu testlerin sonucunda sayım hatalarını azaltmak için histerezis eşikleri, zamansal yumuşatma ve kullanıcının bedenine/odasına uyum sağlayan kalibrasyon adımı eklenmiş; sistemin kullanıcının boyundan ve kameraya uzaklığından bağımsız çalıştığı doğrulanmıştır.</w:t>
      </w:r>
    </w:p>
    <w:p>
      <w:pPr>
        <w:pStyle w:val="Heading2"/>
      </w:pPr>
      <w:r>
        <w:rPr>
          <w:b w:val="0"/>
          <w:i w:val="0"/>
        </w:rPr>
        <w:t>7.3 Sonrasında — Gerçek Dünyada Saha Testi ve Uzman Onayı</w:t>
      </w:r>
    </w:p>
    <w:p>
      <w:r>
        <w:rPr>
          <w:b w:val="0"/>
          <w:i w:val="0"/>
        </w:rPr>
        <w:t>Çözümün uygulanabilirliği ve etkisi, doğrudan hedef kitleyle ve alanın uzmanlarıyla sahada ölçülmüştür:</w:t>
      </w:r>
    </w:p>
    <w:p>
      <w:pPr>
        <w:pStyle w:val="ListBullet"/>
      </w:pPr>
      <w:r>
        <w:rPr>
          <w:b/>
          <w:sz w:val="22"/>
        </w:rPr>
        <w:t xml:space="preserve">+65 yaş bireylerle birebir test. </w:t>
      </w:r>
      <w:r>
        <w:rPr>
          <w:sz w:val="22"/>
        </w:rPr>
        <w:t xml:space="preserve"> ViMove, Akdeniz Üniversitesi Gerontoloji Fakültesi – Tazelenme Üniversitesi öğrencilerine, yani 65 yaş üstü bireylere uygulatılmıştır. Yalnızca bu fakültede 50 kişi ViMove ile egzersiz yapmış ve geri bildirim vermiştir; bu çalışma karşılığında fakülteden resmî bir sertifika ile belgelenilmiştir.</w:t>
      </w:r>
    </w:p>
    <w:p>
      <w:pPr>
        <w:pStyle w:val="ListBullet"/>
      </w:pPr>
      <w:r>
        <w:rPr>
          <w:b/>
          <w:sz w:val="22"/>
        </w:rPr>
        <w:t xml:space="preserve">Akademik referans. </w:t>
      </w:r>
      <w:r>
        <w:rPr>
          <w:sz w:val="22"/>
        </w:rPr>
        <w:t xml:space="preserve"> Akdeniz Üniversitesi Gerontoloji Fakültesi'nden bir profesör, proje için bir referans mektubu yazmış; çözümün bilimsel temeli ve yaşlı bireyler için uygulanabilirliği akademik olarak teyit edilmiştir.</w:t>
      </w:r>
    </w:p>
    <w:p>
      <w:pPr>
        <w:pStyle w:val="ListBullet"/>
      </w:pPr>
      <w:r>
        <w:rPr>
          <w:b/>
          <w:sz w:val="22"/>
        </w:rPr>
        <w:t xml:space="preserve">Uzman kuruluş onayı. </w:t>
      </w:r>
      <w:r>
        <w:rPr>
          <w:sz w:val="22"/>
        </w:rPr>
        <w:t xml:space="preserve"> Proje, Türkiye Parkinson Hastalığı Derneği'nin bölge yöneticilerine sunulmuş; hem yöneticilerin takdiri kazanılmış hem de bölgedeki Parkinson hastaları uygulamayı bizzat deneyerek çok beğenmiştir. Böylece çözümün en zorlu hedef kullanıcı grubunda bile benimsendiği görülmüştür.</w:t>
      </w:r>
    </w:p>
    <w:p>
      <w:pPr>
        <w:pStyle w:val="ListBullet"/>
      </w:pPr>
      <w:r>
        <w:rPr>
          <w:b/>
          <w:sz w:val="22"/>
        </w:rPr>
        <w:t xml:space="preserve">Sivil toplum &amp; topluma erişim. </w:t>
      </w:r>
      <w:r>
        <w:rPr>
          <w:sz w:val="22"/>
        </w:rPr>
        <w:t xml:space="preserve"> Proje, Antalya bölgesindeki yerel vakıf ve kuruluşlara — TEGV, LÖSEV ve AYÇOV — sunularak farklı topluluklarla paylaşılmış ve erişilebilirlik üzerine geri bildirim toplanmıştır.</w:t>
      </w:r>
    </w:p>
    <w:p>
      <w:pPr>
        <w:pStyle w:val="Heading2"/>
      </w:pPr>
      <w:r>
        <w:rPr>
          <w:b w:val="0"/>
          <w:i w:val="0"/>
        </w:rPr>
        <w:t>7.4 Değerlendirmelerin Somut Çıktıları</w:t>
      </w:r>
    </w:p>
    <w:p>
      <w:r>
        <w:rPr>
          <w:b w:val="0"/>
          <w:i w:val="0"/>
        </w:rPr>
        <w:t>Bu değerlendirmeler doğrudan ürünü şekillendirmiştir: kalibrasyon adımının ve yaşa göre tekrar uyarlamasının eklenmesi; yaşlı kullanıcı geri bildirimleriyle arayüzün büyük yazı, yüksek kontrast ve sesli yönlendirme yönünde güncellenmesi; ve hepsinden önemlisi, çözümün hem akademik (Gerontoloji Fakültesi sertifikası ve profesör referans mektubu) hem de uzman/klinik düzeyde (Türkiye Parkinson Hastalığı Derneği) gerçek hedef kullanıcılar üzerinde uygulanabilir ve özgün bulunması. Bu temasların tüm belgeleri (sertifika, referans mektubu ve sunum görüntüleri) mevcuttur.</w:t>
      </w:r>
    </w:p>
    <w:p>
      <w:r>
        <w:br w:type="page"/>
      </w:r>
    </w:p>
    <w:p>
      <w:pPr>
        <w:pStyle w:val="Heading1"/>
      </w:pPr>
      <w:r>
        <w:rPr>
          <w:b w:val="0"/>
          <w:i w:val="0"/>
        </w:rPr>
        <w:t>8. Etki ve Ölçeklenebilirlik</w:t>
      </w:r>
    </w:p>
    <w:p>
      <w:r>
        <w:rPr>
          <w:b w:val="0"/>
          <w:i w:val="0"/>
        </w:rPr>
        <w:t>ViMove'un potansiyel etkisi somut biçimde ifade edilebilir. Klinik seansının bilinen etkisini (örneğin Otago temelli kuvvet programının düşme riskini ~%35 azaltması) sıfır maliyetle, evden ve coğrafyadan bağımsız biçimde erişilebilir kılar. Tarayıcı tabanlı yapısı sayesinde ek altyapı maliyeti olmadan tek kullanıcıdan milyonlara ölçeklenebilir; görme engelliler dâhil geniş bir kitleye hitap eder.</w:t>
      </w:r>
    </w:p>
    <w:p>
      <w:r>
        <w:rPr>
          <w:b w:val="0"/>
          <w:i w:val="0"/>
        </w:rPr>
        <w:t>En büyük katkısı, tedaviye uyumu (adherence) artırma potansiyelidir: Egzersizleri evde, her gün, sayım ve form doğrulamasıyla yapılabilir kılarak — rehabilitasyonun bilinen etkisinin önündeki en büyük engeli doğrudan hedef alır.</w:t>
      </w:r>
    </w:p>
    <w:p>
      <w:pPr>
        <w:pStyle w:val="Heading1"/>
      </w:pPr>
      <w:r>
        <w:rPr>
          <w:b w:val="0"/>
          <w:i w:val="0"/>
        </w:rPr>
        <w:t>9. Sınırlılıklar ve Etik İlkeler</w:t>
      </w:r>
    </w:p>
    <w:p>
      <w:pPr>
        <w:pStyle w:val="ListBullet"/>
      </w:pPr>
      <w:r>
        <w:rPr>
          <w:b/>
          <w:sz w:val="22"/>
        </w:rPr>
        <w:t xml:space="preserve">Tıbbi sınır. </w:t>
      </w:r>
      <w:r>
        <w:rPr>
          <w:sz w:val="22"/>
        </w:rPr>
        <w:t xml:space="preserve"> ViMove tıbbi bir cihaz değildir; teşhis veya tedavi sağlamaz. Bir egzersiz programına başlamadan önce sağlık profesyoluna danışılması gerektiği uygulama içinde açıkça belirtilir.</w:t>
      </w:r>
    </w:p>
    <w:p>
      <w:pPr>
        <w:pStyle w:val="ListBullet"/>
      </w:pPr>
      <w:r>
        <w:rPr>
          <w:b/>
          <w:sz w:val="22"/>
        </w:rPr>
        <w:t xml:space="preserve">Ölçüm doğası. </w:t>
      </w:r>
      <w:r>
        <w:rPr>
          <w:sz w:val="22"/>
        </w:rPr>
        <w:t xml:space="preserve"> Kameraya dayalı genlik ölçümleri görelidir; mutlak klinik eklem açıları değildir ve en çok kişinin kendi geçmiş verisiyle kıyaslandığında anlamlıdır.</w:t>
      </w:r>
    </w:p>
    <w:p>
      <w:pPr>
        <w:pStyle w:val="ListBullet"/>
      </w:pPr>
      <w:r>
        <w:rPr>
          <w:b/>
          <w:sz w:val="22"/>
        </w:rPr>
        <w:t xml:space="preserve">Donanım/ortam koşulları. </w:t>
      </w:r>
      <w:r>
        <w:rPr>
          <w:sz w:val="22"/>
        </w:rPr>
        <w:t xml:space="preserve"> Sistem standart bir web kamerası ve yeterli aydınlatma gerektirir; çok düşük ışıkta veya kameranın hareketi göremediği açılarda performans düşebilir.</w:t>
      </w:r>
    </w:p>
    <w:p>
      <w:pPr>
        <w:pStyle w:val="ListBullet"/>
      </w:pPr>
      <w:r>
        <w:rPr>
          <w:b/>
          <w:sz w:val="22"/>
        </w:rPr>
        <w:t xml:space="preserve">Gizlilik önceliği. </w:t>
      </w:r>
      <w:r>
        <w:rPr>
          <w:sz w:val="22"/>
        </w:rPr>
        <w:t xml:space="preserve"> Tüm analiz cihazda kalır ve görüntü dışarı çıkmaz; bu, gizliliği tasarımın merkezine koyan bilinçli bir etik tercihtir.</w:t>
      </w:r>
    </w:p>
    <w:p>
      <w:pPr>
        <w:pStyle w:val="Heading1"/>
      </w:pPr>
      <w:r>
        <w:rPr>
          <w:b w:val="0"/>
          <w:i w:val="0"/>
        </w:rPr>
        <w:t>10. Gelecek Çalışmalar ve Yol Haritası</w:t>
      </w:r>
    </w:p>
    <w:p>
      <w:pPr>
        <w:pStyle w:val="ListBullet"/>
      </w:pPr>
      <w:r>
        <w:rPr>
          <w:b/>
          <w:sz w:val="22"/>
        </w:rPr>
        <w:t xml:space="preserve">Yeni durumlar. </w:t>
      </w:r>
      <w:r>
        <w:rPr>
          <w:sz w:val="22"/>
        </w:rPr>
        <w:t xml:space="preserve"> Boyun ve bel programı için yeni boyun-rotasyonu ve gövde-eğimi algılaması (geliştirme aşamasında).</w:t>
      </w:r>
    </w:p>
    <w:p>
      <w:pPr>
        <w:pStyle w:val="ListBullet"/>
      </w:pPr>
      <w:r>
        <w:rPr>
          <w:b/>
          <w:sz w:val="22"/>
        </w:rPr>
        <w:t xml:space="preserve">Genişletilmiş saha çalışması. </w:t>
      </w:r>
      <w:r>
        <w:rPr>
          <w:sz w:val="22"/>
        </w:rPr>
        <w:t xml:space="preserve"> Klinik ortaklarla daha geniş ölçekli, ölçülebilir kullanıcı çalışmaları.</w:t>
      </w:r>
    </w:p>
    <w:p>
      <w:pPr>
        <w:pStyle w:val="ListBullet"/>
      </w:pPr>
      <w:r>
        <w:rPr>
          <w:b/>
          <w:sz w:val="22"/>
        </w:rPr>
        <w:t xml:space="preserve">Klinisyen entegrasyonu. </w:t>
      </w:r>
      <w:r>
        <w:rPr>
          <w:sz w:val="22"/>
        </w:rPr>
        <w:t xml:space="preserve"> Fizyoterapistlerin uzaktan program atayıp ilerlemeyi izleyebileceği opsiyonel bir uzman paneli.</w:t>
      </w:r>
    </w:p>
    <w:p>
      <w:pPr>
        <w:pStyle w:val="ListBullet"/>
      </w:pPr>
      <w:r>
        <w:rPr>
          <w:b/>
          <w:sz w:val="22"/>
        </w:rPr>
        <w:t xml:space="preserve">Erişilebilirliğin derinleştirilmesi. </w:t>
      </w:r>
      <w:r>
        <w:rPr>
          <w:sz w:val="22"/>
        </w:rPr>
        <w:t xml:space="preserve"> Daha fazla dil desteği ve sesli arayüzün genişletilmesi.</w:t>
      </w:r>
    </w:p>
    <w:p>
      <w:pPr>
        <w:pStyle w:val="Heading1"/>
      </w:pPr>
      <w:r>
        <w:rPr>
          <w:b w:val="0"/>
          <w:i w:val="0"/>
        </w:rPr>
        <w:t>11. Sonuç</w:t>
      </w:r>
    </w:p>
    <w:p>
      <w:r>
        <w:rPr>
          <w:b w:val="0"/>
          <w:i w:val="0"/>
        </w:rPr>
        <w:t>ViMove, yapay zekâyı bir gösterişten çok bir köprü olarak kullanan, somut ve çalışan bir çözümdür: sıradan bir web kamerasını, ihtiyacı olan herkes için kişiye özel ve klinik temelli bir fizyoterapi asistanına dönüştürür. Tarayıcıda çalışan, kurulumsuz, ücretsiz ve gizliliği koruyan mimarisi; kanıta dayalı program tasarımı; ve gerçek hedef kullanıcılarla, akademik ve uzman kurumlarla doğrulanmış olması — projeyi yalnızca bir fikir değil, uygulanabilir bir ürün hâline getirmektedir. İki lise öğrencisinin sorduğu sade soru — 'bir web kamerasındaki yapay zekâ, birinin evde terapisine devam etmesine yardımcı olabilir mi?' — bugün çalışan bir yanıta kavuşmuştur.</w:t>
      </w:r>
    </w:p>
    <w:p>
      <w:pPr>
        <w:pBdr>
          <w:bottom w:val="single" w:sz="6" w:space="1" w:color="0D9488"/>
        </w:pBdr>
        <w:spacing w:after="80"/>
      </w:pPr>
    </w:p>
    <w:p>
      <w:pPr>
        <w:pStyle w:val="Heading1"/>
      </w:pPr>
      <w:r>
        <w:rPr>
          <w:b w:val="0"/>
          <w:i w:val="0"/>
        </w:rPr>
        <w:t>Kaynakça</w:t>
      </w:r>
    </w:p>
    <w:p>
      <w:pPr>
        <w:spacing w:after="60"/>
      </w:pPr>
      <w:r>
        <w:rPr>
          <w:b/>
          <w:color w:val="0D9488"/>
          <w:sz w:val="19"/>
        </w:rPr>
        <w:t xml:space="preserve">[1] </w:t>
      </w:r>
      <w:r>
        <w:rPr>
          <w:sz w:val="19"/>
        </w:rPr>
        <w:t>World Health Organization &amp; IHME. Global estimates of the need for rehabilitation. who.int</w:t>
      </w:r>
    </w:p>
    <w:p>
      <w:pPr>
        <w:spacing w:after="60"/>
      </w:pPr>
      <w:r>
        <w:rPr>
          <w:b/>
          <w:color w:val="0D9488"/>
          <w:sz w:val="19"/>
        </w:rPr>
        <w:t xml:space="preserve">[2] </w:t>
      </w:r>
      <w:r>
        <w:rPr>
          <w:sz w:val="19"/>
        </w:rPr>
        <w:t>WHO–World Bank. Billions left behind on the path to universal health coverage (2023). who.int</w:t>
      </w:r>
    </w:p>
    <w:p>
      <w:pPr>
        <w:spacing w:after="60"/>
      </w:pPr>
      <w:r>
        <w:rPr>
          <w:b/>
          <w:color w:val="0D9488"/>
          <w:sz w:val="19"/>
        </w:rPr>
        <w:t xml:space="preserve">[3] </w:t>
      </w:r>
      <w:r>
        <w:rPr>
          <w:sz w:val="19"/>
        </w:rPr>
        <w:t>Global Burden of Disease Study 2021 — Parkinson's disease epidemiology. PMC.</w:t>
      </w:r>
    </w:p>
    <w:p>
      <w:pPr>
        <w:spacing w:after="60"/>
      </w:pPr>
      <w:r>
        <w:rPr>
          <w:b/>
          <w:color w:val="0D9488"/>
          <w:sz w:val="19"/>
        </w:rPr>
        <w:t xml:space="preserve">[4] </w:t>
      </w:r>
      <w:r>
        <w:rPr>
          <w:sz w:val="19"/>
        </w:rPr>
        <w:t>BMJ Group. Cases of Parkinson's disease set to reach 25 million worldwide by 2050.</w:t>
      </w:r>
    </w:p>
    <w:p>
      <w:pPr>
        <w:spacing w:after="60"/>
      </w:pPr>
      <w:r>
        <w:rPr>
          <w:b/>
          <w:color w:val="0D9488"/>
          <w:sz w:val="19"/>
        </w:rPr>
        <w:t xml:space="preserve">[5] </w:t>
      </w:r>
      <w:r>
        <w:rPr>
          <w:sz w:val="19"/>
        </w:rPr>
        <w:t>Global Burden of Disease Study 2021 — Stroke burden projections to 2050. PMC.</w:t>
      </w:r>
    </w:p>
    <w:p>
      <w:pPr>
        <w:spacing w:after="60"/>
      </w:pPr>
      <w:r>
        <w:rPr>
          <w:b/>
          <w:color w:val="0D9488"/>
          <w:sz w:val="19"/>
        </w:rPr>
        <w:t xml:space="preserve">[6] </w:t>
      </w:r>
      <w:r>
        <w:rPr>
          <w:sz w:val="19"/>
        </w:rPr>
        <w:t>Otago Exercise Programme Manual (ACC New Zealand); Otago fall-prevention systematic review. PMC.</w:t>
      </w:r>
    </w:p>
    <w:p>
      <w:pPr>
        <w:spacing w:after="60"/>
      </w:pPr>
      <w:r>
        <w:rPr>
          <w:b/>
          <w:color w:val="0D9488"/>
          <w:sz w:val="19"/>
        </w:rPr>
        <w:t xml:space="preserve">[7] </w:t>
      </w:r>
      <w:r>
        <w:rPr>
          <w:sz w:val="19"/>
        </w:rPr>
        <w:t>Parkinson's Foundation &amp; ACSM — Exercise Guidelines (FITT-VP, 2022); LSVT-BIG (BMC Neurology, 2020).</w:t>
      </w:r>
    </w:p>
    <w:p>
      <w:pPr>
        <w:spacing w:after="60"/>
      </w:pPr>
      <w:r>
        <w:rPr>
          <w:b/>
          <w:color w:val="0D9488"/>
          <w:sz w:val="19"/>
        </w:rPr>
        <w:t xml:space="preserve">[8] </w:t>
      </w:r>
      <w:r>
        <w:rPr>
          <w:sz w:val="19"/>
        </w:rPr>
        <w:t>AHA/ASA — Adult Stroke Rehabilitation and Recovery Guideline; sit-to-stand RCT (2021).</w:t>
      </w:r>
    </w:p>
    <w:p>
      <w:pPr>
        <w:spacing w:after="60"/>
      </w:pPr>
      <w:r>
        <w:rPr>
          <w:b/>
          <w:color w:val="0D9488"/>
          <w:sz w:val="19"/>
        </w:rPr>
        <w:t xml:space="preserve">[9] </w:t>
      </w:r>
      <w:r>
        <w:rPr>
          <w:sz w:val="19"/>
        </w:rPr>
        <w:t>OARSI Osteoarthritis Management Guidelines; 2019 ACR / Arthritis Foundation OA Guideline.</w:t>
      </w:r>
    </w:p>
    <w:p>
      <w:pPr>
        <w:spacing w:after="60"/>
      </w:pPr>
      <w:r>
        <w:rPr>
          <w:b/>
          <w:color w:val="0D9488"/>
          <w:sz w:val="19"/>
        </w:rPr>
        <w:t xml:space="preserve">[10] </w:t>
      </w:r>
      <w:r>
        <w:rPr>
          <w:sz w:val="19"/>
        </w:rPr>
        <w:t>WHO Guidelines on Physical Activity and Sedentary Behaviour (2020).</w:t>
      </w:r>
    </w:p>
    <w:p>
      <w:pPr>
        <w:spacing w:after="60"/>
      </w:pPr>
      <w:r>
        <w:rPr>
          <w:b/>
          <w:color w:val="0D9488"/>
          <w:sz w:val="19"/>
        </w:rPr>
        <w:t xml:space="preserve">[11] </w:t>
      </w:r>
      <w:r>
        <w:rPr>
          <w:sz w:val="19"/>
        </w:rPr>
        <w:t>Google MediaPipe Tasks Vision — Hand, Face, Pose Landmarker dokümantasyonu.</w:t>
      </w:r>
    </w:p>
    <w:p/>
    <w:p>
      <w:pPr>
        <w:pBdr>
          <w:bottom w:val="single" w:sz="6" w:space="1" w:color="0D9488"/>
        </w:pBdr>
        <w:spacing w:after="80"/>
      </w:pPr>
    </w:p>
    <w:p>
      <w:pPr>
        <w:jc w:val="center"/>
      </w:pPr>
      <w:r>
        <w:rPr>
          <w:b w:val="0"/>
          <w:i/>
          <w:color w:val="555555"/>
          <w:sz w:val="19"/>
        </w:rPr>
        <w:t>ViMove · vimoveai.com · Erdem Ertan &amp; Oğuz Çetinkaya</w:t>
      </w:r>
    </w:p>
    <w:p>
      <w:pPr>
        <w:jc w:val="center"/>
      </w:pPr>
      <w:r>
        <w:rPr>
          <w:b w:val="0"/>
          <w:i/>
          <w:color w:val="555555"/>
          <w:sz w:val="19"/>
        </w:rPr>
        <w:t>Erişilebilir sağlık için, özenle geliştirildi. © 2026 ViMove.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D948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02A2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102A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