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val="0"/>
          <w:i w:val="0"/>
        </w:rPr>
        <w:t>ViMove</w:t>
      </w:r>
    </w:p>
    <w:p>
      <w:pPr>
        <w:spacing w:after="40"/>
        <w:jc w:val="center"/>
      </w:pPr>
      <w:r>
        <w:rPr>
          <w:b/>
          <w:i w:val="0"/>
          <w:color w:val="0D9488"/>
          <w:sz w:val="30"/>
        </w:rPr>
        <w:t>Yapay Zekâ Destekli Evde Egzersiz ve Hareket Teknolojisi</w:t>
      </w:r>
    </w:p>
    <w:p>
      <w:pPr>
        <w:spacing w:after="360"/>
        <w:jc w:val="center"/>
      </w:pPr>
      <w:r>
        <w:rPr>
          <w:b w:val="0"/>
          <w:i/>
          <w:color w:val="555555"/>
          <w:sz w:val="26"/>
        </w:rPr>
        <w:t>Araştırma Raporu ve Teknik Dokümantasyon</w:t>
      </w:r>
    </w:p>
    <w:p>
      <w:pPr>
        <w:pBdr>
          <w:bottom w:val="single" w:sz="6" w:space="1" w:color="0D9488"/>
        </w:pBdr>
        <w:spacing w:after="80"/>
      </w:pPr>
    </w:p>
    <w:p>
      <w:pPr>
        <w:spacing w:after="480"/>
        <w:jc w:val="center"/>
      </w:pPr>
      <w:r>
        <w:rPr>
          <w:b w:val="0"/>
          <w:i w:val="0"/>
          <w:color w:val="102A2A"/>
          <w:sz w:val="24"/>
        </w:rPr>
        <w:t>Herhangi bir web kamerasını, yaşlılar ve kronik hastalar için kişiye özel bir fizyoterapi asistanına dönüştüren, tarayıcıda çalışan ücretsiz bir yapay zekâ uygulaması.</w:t>
      </w:r>
    </w:p>
    <w:p>
      <w:pPr>
        <w:spacing w:after="320"/>
        <w:jc w:val="center"/>
      </w:pPr>
      <w:r>
        <w:rPr>
          <w:b/>
          <w:i w:val="0"/>
          <w:color w:val="0D9488"/>
          <w:sz w:val="26"/>
        </w:rPr>
        <w:t>vimoveai.com</w:t>
      </w:r>
    </w:p>
    <w:tbl>
      <w:tblPr>
        <w:tblW w:type="auto" w:w="0"/>
        <w:jc w:val="center"/>
        <w:tblLook w:firstColumn="1" w:firstRow="1" w:lastColumn="0" w:lastRow="0" w:noHBand="0" w:noVBand="1" w:val="04A0"/>
      </w:tblPr>
      <w:tblGrid>
        <w:gridCol w:w="4320"/>
        <w:gridCol w:w="4320"/>
      </w:tblGrid>
      <w:tr>
        <w:tc>
          <w:tcPr>
            <w:tcW w:type="dxa" w:w="2304"/>
          </w:tcPr>
          <w:p>
            <w:r/>
            <w:r>
              <w:rPr>
                <w:b/>
                <w:color w:val="0D9488"/>
                <w:sz w:val="21"/>
              </w:rPr>
              <w:t>Proje</w:t>
            </w:r>
          </w:p>
        </w:tc>
        <w:tc>
          <w:tcPr>
            <w:tcW w:type="dxa" w:w="6048"/>
          </w:tcPr>
          <w:p>
            <w:r/>
            <w:r>
              <w:rPr>
                <w:sz w:val="21"/>
              </w:rPr>
              <w:t>ViMove — AI-Guided Movement &amp; Exercise Technology</w:t>
            </w:r>
          </w:p>
        </w:tc>
      </w:tr>
      <w:tr>
        <w:tc>
          <w:tcPr>
            <w:tcW w:type="dxa" w:w="2304"/>
          </w:tcPr>
          <w:p>
            <w:r/>
            <w:r>
              <w:rPr>
                <w:b/>
                <w:color w:val="0D9488"/>
                <w:sz w:val="21"/>
              </w:rPr>
              <w:t>Ekip</w:t>
            </w:r>
          </w:p>
        </w:tc>
        <w:tc>
          <w:tcPr>
            <w:tcW w:type="dxa" w:w="6048"/>
          </w:tcPr>
          <w:p>
            <w:r/>
            <w:r>
              <w:rPr>
                <w:sz w:val="21"/>
              </w:rPr>
              <w:t>Erdem Ertan · Oğuz Çetinkaya (Lise Öğrencileri)</w:t>
            </w:r>
          </w:p>
        </w:tc>
      </w:tr>
      <w:tr>
        <w:tc>
          <w:tcPr>
            <w:tcW w:type="dxa" w:w="2304"/>
          </w:tcPr>
          <w:p>
            <w:r/>
            <w:r>
              <w:rPr>
                <w:b/>
                <w:color w:val="0D9488"/>
                <w:sz w:val="21"/>
              </w:rPr>
              <w:t>Yarışma</w:t>
            </w:r>
          </w:p>
        </w:tc>
        <w:tc>
          <w:tcPr>
            <w:tcW w:type="dxa" w:w="6048"/>
          </w:tcPr>
          <w:p>
            <w:r/>
            <w:r>
              <w:rPr>
                <w:sz w:val="21"/>
              </w:rPr>
              <w:t>Samsung Solve for Tomorrow</w:t>
            </w:r>
          </w:p>
        </w:tc>
      </w:tr>
      <w:tr>
        <w:tc>
          <w:tcPr>
            <w:tcW w:type="dxa" w:w="2304"/>
          </w:tcPr>
          <w:p>
            <w:r/>
            <w:r>
              <w:rPr>
                <w:b/>
                <w:color w:val="0D9488"/>
                <w:sz w:val="21"/>
              </w:rPr>
              <w:t>Kategori</w:t>
            </w:r>
          </w:p>
        </w:tc>
        <w:tc>
          <w:tcPr>
            <w:tcW w:type="dxa" w:w="6048"/>
          </w:tcPr>
          <w:p>
            <w:r/>
            <w:r>
              <w:rPr>
                <w:sz w:val="21"/>
              </w:rPr>
              <w:t>Spor ve Teknoloji Aracılığıyla Sosyal Değişim</w:t>
            </w:r>
          </w:p>
        </w:tc>
      </w:tr>
      <w:tr>
        <w:tc>
          <w:tcPr>
            <w:tcW w:type="dxa" w:w="2304"/>
          </w:tcPr>
          <w:p>
            <w:r/>
            <w:r>
              <w:rPr>
                <w:b/>
                <w:color w:val="0D9488"/>
                <w:sz w:val="21"/>
              </w:rPr>
              <w:t>Sürüm / Tarih</w:t>
            </w:r>
          </w:p>
        </w:tc>
        <w:tc>
          <w:tcPr>
            <w:tcW w:type="dxa" w:w="6048"/>
          </w:tcPr>
          <w:p>
            <w:r/>
            <w:r>
              <w:rPr>
                <w:sz w:val="21"/>
              </w:rPr>
              <w:t>v2.0 · Haziran 2026</w:t>
            </w:r>
          </w:p>
        </w:tc>
      </w:tr>
    </w:tbl>
    <w:p/>
    <w:tbl>
      <w:tblPr>
        <w:tblW w:type="auto" w:w="0"/>
        <w:jc w:val="center"/>
        <w:tblLook w:firstColumn="1" w:firstRow="1" w:lastColumn="0" w:lastRow="0" w:noHBand="0" w:noVBand="1" w:val="04A0"/>
      </w:tblPr>
      <w:tblGrid>
        <w:gridCol w:w="6912"/>
      </w:tblGrid>
      <w:tr>
        <w:tc>
          <w:tcPr>
            <w:tcW w:type="dxa" w:w="6912"/>
            <w:shd w:val="clear" w:fill="EAF2FB"/>
          </w:tcPr>
          <w:p>
            <w:pPr>
              <w:spacing w:after="60"/>
              <w:jc w:val="center"/>
            </w:pPr>
            <w:r>
              <w:rPr>
                <w:b/>
                <w:color w:val="0D4997"/>
                <w:sz w:val="19"/>
              </w:rPr>
              <w:t>PROJE KAYNAK KODU · GITHUB</w:t>
            </w:r>
          </w:p>
          <w:p>
            <w:pPr>
              <w:jc w:val="center"/>
            </w:pPr>
            <w:hyperlink r:id="rId9">
              <w:r>
                <w:rPr>
                  <w:color w:val="0D4997"/>
                  <w:sz w:val="24"/>
                  <w:b/>
                  <w:u w:val="single"/>
                </w:rPr>
                <w:t>github.com/ertan123456/vimoveai</w:t>
              </w:r>
            </w:hyperlink>
          </w:p>
        </w:tc>
      </w:tr>
    </w:tbl>
    <w:p/>
    <w:p>
      <w:pPr>
        <w:jc w:val="center"/>
      </w:pPr>
      <w:r>
        <w:rPr>
          <w:b w:val="0"/>
          <w:i/>
          <w:color w:val="555555"/>
          <w:sz w:val="17"/>
        </w:rPr>
        <w:t>Tıbbi sorumluluk reddi: ViMove yardımcı bir hareket-takip aracı ve bir öğrenci araştırma projesidir; tıbbi bir cihaz değildir, teşhis veya tedavi sağlamaz. Herhangi bir egzersiz programına başlamadan önce mutlaka bir sağlık profesyoluna danışınız.</w:t>
      </w:r>
    </w:p>
    <w:p>
      <w:r>
        <w:br w:type="page"/>
      </w:r>
    </w:p>
    <w:p>
      <w:pPr>
        <w:pStyle w:val="Heading1"/>
      </w:pPr>
      <w:r>
        <w:rPr>
          <w:b w:val="0"/>
          <w:i w:val="0"/>
        </w:rPr>
        <w:t>İçindekiler</w:t>
      </w:r>
    </w:p>
    <w:p>
      <w:pPr>
        <w:tabs>
          <w:tab w:pos="8640" w:val="right" w:leader="dot"/>
        </w:tabs>
        <w:spacing w:after="60" w:before="0"/>
      </w:pPr>
      <w:r>
        <w:rPr>
          <w:b/>
          <w:color w:val="102A2A"/>
          <w:sz w:val="22"/>
        </w:rPr>
        <w:t>Yönetici Özeti</w:t>
      </w:r>
      <w:r>
        <w:rPr>
          <w:color w:val="102A2A"/>
          <w:sz w:val="22"/>
        </w:rPr>
        <w:tab/>
        <w:t>3</w:t>
      </w:r>
    </w:p>
    <w:p>
      <w:pPr>
        <w:tabs>
          <w:tab w:pos="8640" w:val="right" w:leader="dot"/>
        </w:tabs>
        <w:spacing w:after="60" w:before="0"/>
      </w:pPr>
      <w:r>
        <w:rPr>
          <w:b/>
          <w:color w:val="102A2A"/>
          <w:sz w:val="22"/>
        </w:rPr>
        <w:t>1. Giriş</w:t>
      </w:r>
      <w:r>
        <w:rPr>
          <w:color w:val="102A2A"/>
          <w:sz w:val="22"/>
        </w:rPr>
        <w:tab/>
        <w:t>4</w:t>
      </w:r>
    </w:p>
    <w:p>
      <w:pPr>
        <w:tabs>
          <w:tab w:pos="8640" w:val="right" w:leader="dot"/>
        </w:tabs>
        <w:spacing w:after="60" w:before="0"/>
      </w:pPr>
      <w:r>
        <w:rPr>
          <w:b/>
          <w:color w:val="102A2A"/>
          <w:sz w:val="22"/>
        </w:rPr>
        <w:t>2. Vizyon ve Misyon</w:t>
      </w:r>
      <w:r>
        <w:rPr>
          <w:color w:val="102A2A"/>
          <w:sz w:val="22"/>
        </w:rPr>
        <w:tab/>
        <w:t>4</w:t>
      </w:r>
    </w:p>
    <w:p>
      <w:pPr>
        <w:tabs>
          <w:tab w:pos="8640" w:val="right" w:leader="dot"/>
        </w:tabs>
        <w:spacing w:after="20" w:before="0"/>
        <w:ind w:left="432"/>
      </w:pPr>
      <w:r>
        <w:rPr>
          <w:b w:val="0"/>
          <w:color w:val="555555"/>
          <w:sz w:val="20"/>
        </w:rPr>
        <w:t>2.1 Vizyon</w:t>
      </w:r>
      <w:r>
        <w:rPr>
          <w:color w:val="555555"/>
          <w:sz w:val="20"/>
        </w:rPr>
        <w:tab/>
        <w:t>4</w:t>
      </w:r>
    </w:p>
    <w:p>
      <w:pPr>
        <w:tabs>
          <w:tab w:pos="8640" w:val="right" w:leader="dot"/>
        </w:tabs>
        <w:spacing w:after="20" w:before="0"/>
        <w:ind w:left="432"/>
      </w:pPr>
      <w:r>
        <w:rPr>
          <w:b w:val="0"/>
          <w:color w:val="555555"/>
          <w:sz w:val="20"/>
        </w:rPr>
        <w:t>2.2 Misyon</w:t>
      </w:r>
      <w:r>
        <w:rPr>
          <w:color w:val="555555"/>
          <w:sz w:val="20"/>
        </w:rPr>
        <w:tab/>
        <w:t>4</w:t>
      </w:r>
    </w:p>
    <w:p>
      <w:pPr>
        <w:tabs>
          <w:tab w:pos="8640" w:val="right" w:leader="dot"/>
        </w:tabs>
        <w:spacing w:after="20" w:before="0"/>
        <w:ind w:left="432"/>
      </w:pPr>
      <w:r>
        <w:rPr>
          <w:b w:val="0"/>
          <w:color w:val="555555"/>
          <w:sz w:val="20"/>
        </w:rPr>
        <w:t>2.3 Temel İlkeler</w:t>
      </w:r>
      <w:r>
        <w:rPr>
          <w:color w:val="555555"/>
          <w:sz w:val="20"/>
        </w:rPr>
        <w:tab/>
        <w:t>4</w:t>
      </w:r>
    </w:p>
    <w:p>
      <w:pPr>
        <w:tabs>
          <w:tab w:pos="8640" w:val="right" w:leader="dot"/>
        </w:tabs>
        <w:spacing w:after="20" w:before="0"/>
        <w:ind w:left="432"/>
      </w:pPr>
      <w:r>
        <w:rPr>
          <w:b w:val="0"/>
          <w:color w:val="555555"/>
          <w:sz w:val="20"/>
        </w:rPr>
        <w:t>2.4 Bir Spor ve Hareket Teknolojisi Olarak ViMove</w:t>
      </w:r>
      <w:r>
        <w:rPr>
          <w:color w:val="555555"/>
          <w:sz w:val="20"/>
        </w:rPr>
        <w:tab/>
        <w:t>5</w:t>
      </w:r>
    </w:p>
    <w:p>
      <w:pPr>
        <w:tabs>
          <w:tab w:pos="8640" w:val="right" w:leader="dot"/>
        </w:tabs>
        <w:spacing w:after="60" w:before="0"/>
      </w:pPr>
      <w:r>
        <w:rPr>
          <w:b/>
          <w:color w:val="102A2A"/>
          <w:sz w:val="22"/>
        </w:rPr>
        <w:t>3. Problem Tanımı ve Hedef Kitle</w:t>
      </w:r>
      <w:r>
        <w:rPr>
          <w:color w:val="102A2A"/>
          <w:sz w:val="22"/>
        </w:rPr>
        <w:tab/>
        <w:t>6</w:t>
      </w:r>
    </w:p>
    <w:p>
      <w:pPr>
        <w:tabs>
          <w:tab w:pos="8640" w:val="right" w:leader="dot"/>
        </w:tabs>
        <w:spacing w:after="20" w:before="0"/>
        <w:ind w:left="432"/>
      </w:pPr>
      <w:r>
        <w:rPr>
          <w:b w:val="0"/>
          <w:color w:val="555555"/>
          <w:sz w:val="20"/>
        </w:rPr>
        <w:t>3.1 Neden Mevcut Çözümler Yetersiz?</w:t>
      </w:r>
      <w:r>
        <w:rPr>
          <w:color w:val="555555"/>
          <w:sz w:val="20"/>
        </w:rPr>
        <w:tab/>
        <w:t>6</w:t>
      </w:r>
    </w:p>
    <w:p>
      <w:pPr>
        <w:tabs>
          <w:tab w:pos="8640" w:val="right" w:leader="dot"/>
        </w:tabs>
        <w:spacing w:after="60" w:before="0"/>
      </w:pPr>
      <w:r>
        <w:rPr>
          <w:b/>
          <w:color w:val="102A2A"/>
          <w:sz w:val="22"/>
        </w:rPr>
        <w:t>4. Çözüm: ViMove</w:t>
      </w:r>
      <w:r>
        <w:rPr>
          <w:color w:val="102A2A"/>
          <w:sz w:val="22"/>
        </w:rPr>
        <w:tab/>
        <w:t>7</w:t>
      </w:r>
    </w:p>
    <w:p>
      <w:pPr>
        <w:tabs>
          <w:tab w:pos="8640" w:val="right" w:leader="dot"/>
        </w:tabs>
        <w:spacing w:after="20" w:before="0"/>
        <w:ind w:left="432"/>
      </w:pPr>
      <w:r>
        <w:rPr>
          <w:b w:val="0"/>
          <w:color w:val="555555"/>
          <w:sz w:val="20"/>
        </w:rPr>
        <w:t>4.1 Öne Çıkan Yetenekler</w:t>
      </w:r>
      <w:r>
        <w:rPr>
          <w:color w:val="555555"/>
          <w:sz w:val="20"/>
        </w:rPr>
        <w:tab/>
        <w:t>7</w:t>
      </w:r>
    </w:p>
    <w:p>
      <w:pPr>
        <w:tabs>
          <w:tab w:pos="8640" w:val="right" w:leader="dot"/>
        </w:tabs>
        <w:spacing w:after="20" w:before="0"/>
        <w:ind w:left="432"/>
      </w:pPr>
      <w:r>
        <w:rPr>
          <w:b w:val="0"/>
          <w:color w:val="555555"/>
          <w:sz w:val="20"/>
        </w:rPr>
        <w:t>4.2 Desteklenen Durumlar</w:t>
      </w:r>
      <w:r>
        <w:rPr>
          <w:color w:val="555555"/>
          <w:sz w:val="20"/>
        </w:rPr>
        <w:tab/>
        <w:t>7</w:t>
      </w:r>
    </w:p>
    <w:p>
      <w:pPr>
        <w:tabs>
          <w:tab w:pos="8640" w:val="right" w:leader="dot"/>
        </w:tabs>
        <w:spacing w:after="60" w:before="0"/>
      </w:pPr>
      <w:r>
        <w:rPr>
          <w:b/>
          <w:color w:val="102A2A"/>
          <w:sz w:val="22"/>
        </w:rPr>
        <w:t>5. Teknik Mimari</w:t>
      </w:r>
      <w:r>
        <w:rPr>
          <w:color w:val="102A2A"/>
          <w:sz w:val="22"/>
        </w:rPr>
        <w:tab/>
        <w:t>8</w:t>
      </w:r>
    </w:p>
    <w:p>
      <w:pPr>
        <w:tabs>
          <w:tab w:pos="8640" w:val="right" w:leader="dot"/>
        </w:tabs>
        <w:spacing w:after="20" w:before="0"/>
        <w:ind w:left="432"/>
      </w:pPr>
      <w:r>
        <w:rPr>
          <w:b w:val="0"/>
          <w:color w:val="555555"/>
          <w:sz w:val="20"/>
        </w:rPr>
        <w:t>5.1 Genel Mimari ve Teknoloji Yığını</w:t>
      </w:r>
      <w:r>
        <w:rPr>
          <w:color w:val="555555"/>
          <w:sz w:val="20"/>
        </w:rPr>
        <w:tab/>
        <w:t>8</w:t>
      </w:r>
    </w:p>
    <w:p>
      <w:pPr>
        <w:tabs>
          <w:tab w:pos="8640" w:val="right" w:leader="dot"/>
        </w:tabs>
        <w:spacing w:after="20" w:before="0"/>
        <w:ind w:left="432"/>
      </w:pPr>
      <w:r>
        <w:rPr>
          <w:b w:val="0"/>
          <w:color w:val="555555"/>
          <w:sz w:val="20"/>
        </w:rPr>
        <w:t>5.2 Tarayıcı-içi Yapay Zekâ Motoru</w:t>
      </w:r>
      <w:r>
        <w:rPr>
          <w:color w:val="555555"/>
          <w:sz w:val="20"/>
        </w:rPr>
        <w:tab/>
        <w:t>8</w:t>
      </w:r>
    </w:p>
    <w:p>
      <w:pPr>
        <w:tabs>
          <w:tab w:pos="8640" w:val="right" w:leader="dot"/>
        </w:tabs>
        <w:spacing w:after="20" w:before="0"/>
        <w:ind w:left="432"/>
      </w:pPr>
      <w:r>
        <w:rPr>
          <w:b w:val="0"/>
          <w:color w:val="555555"/>
          <w:sz w:val="20"/>
        </w:rPr>
        <w:t>5.3 Ölçek ve Mesafeden Bağımsız Ölçüm</w:t>
      </w:r>
      <w:r>
        <w:rPr>
          <w:color w:val="555555"/>
          <w:sz w:val="20"/>
        </w:rPr>
        <w:tab/>
        <w:t>9</w:t>
      </w:r>
    </w:p>
    <w:p>
      <w:pPr>
        <w:tabs>
          <w:tab w:pos="8640" w:val="right" w:leader="dot"/>
        </w:tabs>
        <w:spacing w:after="20" w:before="0"/>
        <w:ind w:left="432"/>
      </w:pPr>
      <w:r>
        <w:rPr>
          <w:b w:val="0"/>
          <w:color w:val="555555"/>
          <w:sz w:val="20"/>
        </w:rPr>
        <w:t>5.4 Tekrar Sayım Durum Makinesi</w:t>
      </w:r>
      <w:r>
        <w:rPr>
          <w:color w:val="555555"/>
          <w:sz w:val="20"/>
        </w:rPr>
        <w:tab/>
        <w:t>9</w:t>
      </w:r>
    </w:p>
    <w:p>
      <w:pPr>
        <w:tabs>
          <w:tab w:pos="8640" w:val="right" w:leader="dot"/>
        </w:tabs>
        <w:spacing w:after="20" w:before="0"/>
        <w:ind w:left="432"/>
      </w:pPr>
      <w:r>
        <w:rPr>
          <w:b w:val="0"/>
          <w:color w:val="555555"/>
          <w:sz w:val="20"/>
        </w:rPr>
        <w:t>5.5 Kanıt-Temelli Kişiselleştirme Motoru</w:t>
      </w:r>
      <w:r>
        <w:rPr>
          <w:color w:val="555555"/>
          <w:sz w:val="20"/>
        </w:rPr>
        <w:tab/>
        <w:t>10</w:t>
      </w:r>
    </w:p>
    <w:p>
      <w:pPr>
        <w:tabs>
          <w:tab w:pos="8640" w:val="right" w:leader="dot"/>
        </w:tabs>
        <w:spacing w:after="20" w:before="0"/>
        <w:ind w:left="432"/>
      </w:pPr>
      <w:r>
        <w:rPr>
          <w:b w:val="0"/>
          <w:color w:val="555555"/>
          <w:sz w:val="20"/>
        </w:rPr>
        <w:t>5.6 Hareket-Kalite Analizi ve Seans Raporu</w:t>
      </w:r>
      <w:r>
        <w:rPr>
          <w:color w:val="555555"/>
          <w:sz w:val="20"/>
        </w:rPr>
        <w:tab/>
        <w:t>10</w:t>
      </w:r>
    </w:p>
    <w:p>
      <w:pPr>
        <w:tabs>
          <w:tab w:pos="8640" w:val="right" w:leader="dot"/>
        </w:tabs>
        <w:spacing w:after="20" w:before="0"/>
        <w:ind w:left="432"/>
      </w:pPr>
      <w:r>
        <w:rPr>
          <w:b w:val="0"/>
          <w:color w:val="555555"/>
          <w:sz w:val="20"/>
        </w:rPr>
        <w:t>5.7 İlerleme Takibi</w:t>
      </w:r>
      <w:r>
        <w:rPr>
          <w:color w:val="555555"/>
          <w:sz w:val="20"/>
        </w:rPr>
        <w:tab/>
        <w:t>11</w:t>
      </w:r>
    </w:p>
    <w:p>
      <w:pPr>
        <w:tabs>
          <w:tab w:pos="8640" w:val="right" w:leader="dot"/>
        </w:tabs>
        <w:spacing w:after="20" w:before="0"/>
        <w:ind w:left="432"/>
      </w:pPr>
      <w:r>
        <w:rPr>
          <w:b w:val="0"/>
          <w:color w:val="555555"/>
          <w:sz w:val="20"/>
        </w:rPr>
        <w:t>5.8 Gizlilik ve Güvenlik</w:t>
      </w:r>
      <w:r>
        <w:rPr>
          <w:color w:val="555555"/>
          <w:sz w:val="20"/>
        </w:rPr>
        <w:tab/>
        <w:t>11</w:t>
      </w:r>
    </w:p>
    <w:p>
      <w:pPr>
        <w:tabs>
          <w:tab w:pos="8640" w:val="right" w:leader="dot"/>
        </w:tabs>
        <w:spacing w:after="20" w:before="0"/>
        <w:ind w:left="432"/>
      </w:pPr>
      <w:r>
        <w:rPr>
          <w:b w:val="0"/>
          <w:color w:val="555555"/>
          <w:sz w:val="20"/>
        </w:rPr>
        <w:t>5.9 Erişilebilirlik ve Yardımcı Teknoloji</w:t>
      </w:r>
      <w:r>
        <w:rPr>
          <w:color w:val="555555"/>
          <w:sz w:val="20"/>
        </w:rPr>
        <w:tab/>
        <w:t>11</w:t>
      </w:r>
    </w:p>
    <w:p>
      <w:pPr>
        <w:tabs>
          <w:tab w:pos="8640" w:val="right" w:leader="dot"/>
        </w:tabs>
        <w:spacing w:after="60" w:before="0"/>
      </w:pPr>
      <w:r>
        <w:rPr>
          <w:b/>
          <w:color w:val="102A2A"/>
          <w:sz w:val="22"/>
        </w:rPr>
        <w:t>6. Klinik Temel ve Kanıt</w:t>
      </w:r>
      <w:r>
        <w:rPr>
          <w:color w:val="102A2A"/>
          <w:sz w:val="22"/>
        </w:rPr>
        <w:tab/>
        <w:t>12</w:t>
      </w:r>
    </w:p>
    <w:p>
      <w:pPr>
        <w:tabs>
          <w:tab w:pos="8640" w:val="right" w:leader="dot"/>
        </w:tabs>
        <w:spacing w:after="60" w:before="0"/>
      </w:pPr>
      <w:r>
        <w:rPr>
          <w:b/>
          <w:color w:val="102A2A"/>
          <w:sz w:val="22"/>
        </w:rPr>
        <w:t>7. Saha Testleri ve Değerlendirme</w:t>
      </w:r>
      <w:r>
        <w:rPr>
          <w:color w:val="102A2A"/>
          <w:sz w:val="22"/>
        </w:rPr>
        <w:tab/>
        <w:t>13</w:t>
      </w:r>
    </w:p>
    <w:p>
      <w:pPr>
        <w:tabs>
          <w:tab w:pos="8640" w:val="right" w:leader="dot"/>
        </w:tabs>
        <w:spacing w:after="20" w:before="0"/>
        <w:ind w:left="432"/>
      </w:pPr>
      <w:r>
        <w:rPr>
          <w:b w:val="0"/>
          <w:color w:val="555555"/>
          <w:sz w:val="20"/>
        </w:rPr>
        <w:t>7.1 Öncesinde — Özgünlük ve İhtiyaç Analizi</w:t>
      </w:r>
      <w:r>
        <w:rPr>
          <w:color w:val="555555"/>
          <w:sz w:val="20"/>
        </w:rPr>
        <w:tab/>
        <w:t>13</w:t>
      </w:r>
    </w:p>
    <w:p>
      <w:pPr>
        <w:tabs>
          <w:tab w:pos="8640" w:val="right" w:leader="dot"/>
        </w:tabs>
        <w:spacing w:after="20" w:before="0"/>
        <w:ind w:left="432"/>
      </w:pPr>
      <w:r>
        <w:rPr>
          <w:b w:val="0"/>
          <w:color w:val="555555"/>
          <w:sz w:val="20"/>
        </w:rPr>
        <w:t>7.2 Sırasında — Teknik Doğrulama</w:t>
      </w:r>
      <w:r>
        <w:rPr>
          <w:color w:val="555555"/>
          <w:sz w:val="20"/>
        </w:rPr>
        <w:tab/>
        <w:t>13</w:t>
      </w:r>
    </w:p>
    <w:p>
      <w:pPr>
        <w:tabs>
          <w:tab w:pos="8640" w:val="right" w:leader="dot"/>
        </w:tabs>
        <w:spacing w:after="20" w:before="0"/>
        <w:ind w:left="432"/>
      </w:pPr>
      <w:r>
        <w:rPr>
          <w:b w:val="0"/>
          <w:color w:val="555555"/>
          <w:sz w:val="20"/>
        </w:rPr>
        <w:t>7.3 Sonrasında — Saha Testi ve Uzman Onayı</w:t>
      </w:r>
      <w:r>
        <w:rPr>
          <w:color w:val="555555"/>
          <w:sz w:val="20"/>
        </w:rPr>
        <w:tab/>
        <w:t>13</w:t>
      </w:r>
    </w:p>
    <w:p>
      <w:pPr>
        <w:tabs>
          <w:tab w:pos="8640" w:val="right" w:leader="dot"/>
        </w:tabs>
        <w:spacing w:after="20" w:before="0"/>
        <w:ind w:left="432"/>
      </w:pPr>
      <w:r>
        <w:rPr>
          <w:b w:val="0"/>
          <w:color w:val="555555"/>
          <w:sz w:val="20"/>
        </w:rPr>
        <w:t>7.4 Değerlendirmelerin Somut Çıktıları</w:t>
      </w:r>
      <w:r>
        <w:rPr>
          <w:color w:val="555555"/>
          <w:sz w:val="20"/>
        </w:rPr>
        <w:tab/>
        <w:t>13</w:t>
      </w:r>
    </w:p>
    <w:p>
      <w:pPr>
        <w:tabs>
          <w:tab w:pos="8640" w:val="right" w:leader="dot"/>
        </w:tabs>
        <w:spacing w:after="60" w:before="0"/>
      </w:pPr>
      <w:r>
        <w:rPr>
          <w:b/>
          <w:color w:val="102A2A"/>
          <w:sz w:val="22"/>
        </w:rPr>
        <w:t>8. Etki ve Ölçeklenebilirlik</w:t>
      </w:r>
      <w:r>
        <w:rPr>
          <w:color w:val="102A2A"/>
          <w:sz w:val="22"/>
        </w:rPr>
        <w:tab/>
        <w:t>15</w:t>
      </w:r>
    </w:p>
    <w:p>
      <w:pPr>
        <w:tabs>
          <w:tab w:pos="8640" w:val="right" w:leader="dot"/>
        </w:tabs>
        <w:spacing w:after="20" w:before="0"/>
        <w:ind w:left="432"/>
      </w:pPr>
      <w:r>
        <w:rPr>
          <w:b w:val="0"/>
          <w:color w:val="555555"/>
          <w:sz w:val="20"/>
        </w:rPr>
        <w:t>8.1 Sporun Demokratikleşmesi ve Sosyal Değişim</w:t>
      </w:r>
      <w:r>
        <w:rPr>
          <w:color w:val="555555"/>
          <w:sz w:val="20"/>
        </w:rPr>
        <w:tab/>
        <w:t>15</w:t>
      </w:r>
    </w:p>
    <w:p>
      <w:pPr>
        <w:tabs>
          <w:tab w:pos="8640" w:val="right" w:leader="dot"/>
        </w:tabs>
        <w:spacing w:after="60" w:before="0"/>
      </w:pPr>
      <w:r>
        <w:rPr>
          <w:b/>
          <w:color w:val="102A2A"/>
          <w:sz w:val="22"/>
        </w:rPr>
        <w:t>9. Sınırlılıklar ve Etik İlkeler</w:t>
      </w:r>
      <w:r>
        <w:rPr>
          <w:color w:val="102A2A"/>
          <w:sz w:val="22"/>
        </w:rPr>
        <w:tab/>
        <w:t>15</w:t>
      </w:r>
    </w:p>
    <w:p>
      <w:pPr>
        <w:tabs>
          <w:tab w:pos="8640" w:val="right" w:leader="dot"/>
        </w:tabs>
        <w:spacing w:after="60" w:before="0"/>
      </w:pPr>
      <w:r>
        <w:rPr>
          <w:b/>
          <w:color w:val="102A2A"/>
          <w:sz w:val="22"/>
        </w:rPr>
        <w:t>10. Gelecek Çalışmalar ve Yol Haritası</w:t>
      </w:r>
      <w:r>
        <w:rPr>
          <w:color w:val="102A2A"/>
          <w:sz w:val="22"/>
        </w:rPr>
        <w:tab/>
        <w:t>15</w:t>
      </w:r>
    </w:p>
    <w:p>
      <w:pPr>
        <w:tabs>
          <w:tab w:pos="8640" w:val="right" w:leader="dot"/>
        </w:tabs>
        <w:spacing w:after="60" w:before="0"/>
      </w:pPr>
      <w:r>
        <w:rPr>
          <w:b/>
          <w:color w:val="102A2A"/>
          <w:sz w:val="22"/>
        </w:rPr>
        <w:t>11. Sonuç</w:t>
      </w:r>
      <w:r>
        <w:rPr>
          <w:color w:val="102A2A"/>
          <w:sz w:val="22"/>
        </w:rPr>
        <w:tab/>
        <w:t>16</w:t>
      </w:r>
    </w:p>
    <w:p>
      <w:pPr>
        <w:tabs>
          <w:tab w:pos="8640" w:val="right" w:leader="dot"/>
        </w:tabs>
        <w:spacing w:after="60" w:before="0"/>
      </w:pPr>
      <w:r>
        <w:rPr>
          <w:b/>
          <w:color w:val="102A2A"/>
          <w:sz w:val="22"/>
        </w:rPr>
        <w:t>Kaynakça</w:t>
      </w:r>
      <w:r>
        <w:rPr>
          <w:color w:val="102A2A"/>
          <w:sz w:val="22"/>
        </w:rPr>
        <w:tab/>
        <w:t>16</w:t>
      </w:r>
    </w:p>
    <w:p>
      <w:r>
        <w:br w:type="page"/>
      </w:r>
    </w:p>
    <w:p>
      <w:pPr>
        <w:pStyle w:val="Heading1"/>
      </w:pPr>
      <w:r>
        <w:rPr>
          <w:b w:val="0"/>
          <w:i w:val="0"/>
        </w:rPr>
        <w:t>Yönetici Özeti</w:t>
      </w:r>
    </w:p>
    <w:p>
      <w:r>
        <w:rPr>
          <w:b w:val="0"/>
          <w:i w:val="0"/>
        </w:rPr>
        <w:t>ViMove, fizyoterapinin önündeki en büyük engellerden birini — düzenli kliniğe erişimin zorluğunu — ortadan kaldırmak için geliştirilmiş, tarayıcıda çalışan yapay zekâ destekli bir hareket terapisi uygulamasıdır. Kullanıcının yaşı, cinsiyeti ve sağlık durumu temel alınarak klinik kılavuzlara dayalı, kişiye özel bir egzersiz programı oluşturulur; ardından sıradan bir web kamerası kullanılarak, tamamen cihaz üzerinde çalışan bir bilgisayarlı görü motoru her hareketi gerçek zamanlı izler, formu doğrular ve tekrarları otomatik sayar.</w:t>
      </w:r>
    </w:p>
    <w:p>
      <w:r>
        <w:rPr>
          <w:b w:val="0"/>
          <w:i w:val="0"/>
        </w:rPr>
        <w:t>Dünya Sağlık Örgütü verilerine göre bugün yaklaşık 2,4 milyar insan rehabilitasyondan fayda görecek bir sağlık durumuyla yaşamakta; düşük ve orta gelirli ülkelerde bu kişilerin yarısından fazlası hizmete erişememektedir. ViMove, kurulum gerektirmeyen, ücretsiz ve gizliliği koruyan yapısıyla bu erişim açığını doğrudan hedefler. Çözüm, 65 yaş üstü bireylerle saha testinden geçirilmiş; Akdeniz Üniversitesi Gerontoloji Fakültesi ve Türkiye Parkinson Hastalığı Derneği gibi alanın yetkin kurumları tarafından değerlendirilmiş ve takdir görmüştür.</w:t>
      </w:r>
    </w:p>
    <w:p>
      <w:r>
        <w:rPr>
          <w:b w:val="0"/>
          <w:i/>
          <w:color w:val="555555"/>
        </w:rPr>
        <w:t>Bu doküman; projenin vizyonunu, çözdüğü problemi, klinik temelini, ayrıntılı teknik mimarisini ve saha değerlendirmelerini bütüncül biçimde sunar.</w:t>
      </w:r>
    </w:p>
    <w:p>
      <w:r>
        <w:br w:type="page"/>
      </w:r>
    </w:p>
    <w:p>
      <w:pPr>
        <w:pStyle w:val="Heading1"/>
      </w:pPr>
      <w:r>
        <w:rPr>
          <w:b w:val="0"/>
          <w:i w:val="0"/>
        </w:rPr>
        <w:t>1. Giriş</w:t>
      </w:r>
    </w:p>
    <w:p>
      <w:r>
        <w:rPr>
          <w:b w:val="0"/>
          <w:i w:val="0"/>
        </w:rPr>
        <w:t>Fizyoterapi ve düzenli egzersiz; Parkinson, inme sonrası rehabilitasyon, osteoartrit ve düşme önleme gibi pek çok durumun yönetiminde kanıta dayalı, temel bir bileşendir. Ne var ki bu tedavilerin etkili olabilmesi düzenliliğe — yani tedaviye uyuma (adherence) — bağlıdır. Yaşlı bireyler için ulaşım güçlüğü, randevu yoğunluğu, maliyet ve uzman erişimi, egzersizlerin düzenli sürdürülmesinin önündeki başlıca engellerdir. Sonuç olarak, kliniklerde öğretilen egzersizler evde çoğu zaman yanlış, eksik ya da hiç yapılmaz.</w:t>
      </w:r>
    </w:p>
    <w:p>
      <w:r>
        <w:rPr>
          <w:b w:val="0"/>
          <w:i w:val="0"/>
        </w:rPr>
        <w:t>ViMove bu boşluğu, bireyin evindeki sıradan bir kamerayı denetimli bir egzersiz ortamına dönüştürerek doldurur. Hiçbir özel donanım, uygulama mağazası ya da teknik bilgi gerektirmez: Bir web sayfası açabilen herkes ViMove'u kullanabilir. Bu rapor, projenin neden gerekli olduğunu, nasıl tasarlandığını ve gerçek dünyada nasıl doğrulandığını ayrıntılı biçimde ortaya koyar.</w:t>
      </w:r>
    </w:p>
    <w:p>
      <w:r>
        <w:rPr>
          <w:b w:val="0"/>
          <w:i w:val="0"/>
        </w:rPr>
        <w:t>ViMove, bu yarışmanın 'Spor ve Teknoloji Aracılığıyla Sosyal Değişim' temasını doğrudan ele alır. Egzersiz ve fiziksel aktivite — yani sporun en temel hâli — sağlıklı yaşamın ve sağlıklı yaşlanmanın çekirdeğidir; ancak bu faydalara en çok ihtiyaç duyan kesimler (yaşlılar ve kronik hastalar) çoğu zaman spordan ve düzenli hareketten dışlanır. ViMove, elit sporda kullanılan hareket-yakalama teknolojisini herkesin evine taşıyarak fiziksel aktiviteyi bir ayrıcalık olmaktan çıkarır ve bir hak hâline getirir — somut bir spor ve hareket teknolojisi aracılığıyla toplumsal bir değişim yaratmayı amaçlar.</w:t>
      </w:r>
    </w:p>
    <w:p>
      <w:pPr>
        <w:pStyle w:val="Heading1"/>
      </w:pPr>
      <w:r>
        <w:rPr>
          <w:b w:val="0"/>
          <w:i w:val="0"/>
        </w:rPr>
        <w:t>2. Vizyon ve Misyon</w:t>
      </w:r>
    </w:p>
    <w:p>
      <w:pPr>
        <w:pStyle w:val="Heading2"/>
      </w:pPr>
      <w:r>
        <w:rPr>
          <w:b w:val="0"/>
          <w:i w:val="0"/>
        </w:rPr>
        <w:t>2.1 Vizyon</w:t>
      </w:r>
    </w:p>
    <w:p>
      <w:r>
        <w:rPr>
          <w:b w:val="0"/>
          <w:i w:val="0"/>
        </w:rPr>
        <w:t>Coğrafyadan, gelirden ve fiziksel erişimden bağımsız olarak, kanıta dayalı hareket terapisinin ihtiyacı olan herkesin evine ulaştığı bir dünya. ViMove, rehabilitasyonu bir randevuya değil, günlük yaşamın doğal bir parçasına dönüştürmeyi amaçlar.</w:t>
      </w:r>
    </w:p>
    <w:p>
      <w:pPr>
        <w:pStyle w:val="Heading2"/>
      </w:pPr>
      <w:r>
        <w:rPr>
          <w:b w:val="0"/>
          <w:i w:val="0"/>
        </w:rPr>
        <w:t>2.2 Misyon</w:t>
      </w:r>
    </w:p>
    <w:p>
      <w:r>
        <w:rPr>
          <w:b w:val="0"/>
          <w:i w:val="0"/>
        </w:rPr>
        <w:t>Yapay zekâ ve bilgisayarlı görüyü, yaşlı bireyler ve kronik hastalar için bile sade ve erişilebilir kalacak biçimde kullanarak; kişiye özel, klinik temelli ve gizliliği koruyan bir egzersiz deneyimini ücretsiz sunmak. Teknolojiyi bir engel değil, bir köprü hâline getirmek.</w:t>
      </w:r>
    </w:p>
    <w:p>
      <w:pPr>
        <w:pStyle w:val="Heading2"/>
      </w:pPr>
      <w:r>
        <w:rPr>
          <w:b w:val="0"/>
          <w:i w:val="0"/>
        </w:rPr>
        <w:t>2.3 Temel İlkeler</w:t>
      </w:r>
    </w:p>
    <w:p>
      <w:pPr>
        <w:pStyle w:val="ListBullet"/>
      </w:pPr>
      <w:r>
        <w:rPr>
          <w:b/>
          <w:sz w:val="22"/>
        </w:rPr>
        <w:t xml:space="preserve">Erişilebilirlik. </w:t>
      </w:r>
      <w:r>
        <w:rPr>
          <w:sz w:val="22"/>
        </w:rPr>
        <w:t xml:space="preserve"> Klinik seans, uygulama mağazası ya da özel donanım yok; bir tarayıcı ve kamera yeterli.</w:t>
      </w:r>
    </w:p>
    <w:p>
      <w:pPr>
        <w:pStyle w:val="ListBullet"/>
      </w:pPr>
      <w:r>
        <w:rPr>
          <w:b/>
          <w:sz w:val="22"/>
        </w:rPr>
        <w:t xml:space="preserve">Gizlilik. </w:t>
      </w:r>
      <w:r>
        <w:rPr>
          <w:sz w:val="22"/>
        </w:rPr>
        <w:t xml:space="preserve"> Tüm yapay zekâ işlemleri cihazda çalışır; kamera görüntüsü cihazı asla terk etmez.</w:t>
      </w:r>
    </w:p>
    <w:p>
      <w:pPr>
        <w:pStyle w:val="ListBullet"/>
      </w:pPr>
      <w:r>
        <w:rPr>
          <w:b/>
          <w:sz w:val="22"/>
        </w:rPr>
        <w:t xml:space="preserve">Kanıt temelliliği. </w:t>
      </w:r>
      <w:r>
        <w:rPr>
          <w:sz w:val="22"/>
        </w:rPr>
        <w:t xml:space="preserve"> Egzersiz seçimi ve dozajı yayımlanmış klinik kılavuzlara dayanır.</w:t>
      </w:r>
    </w:p>
    <w:p>
      <w:pPr>
        <w:pStyle w:val="ListBullet"/>
      </w:pPr>
      <w:r>
        <w:rPr>
          <w:b/>
          <w:sz w:val="22"/>
        </w:rPr>
        <w:t xml:space="preserve">Kapsayıcılık. </w:t>
      </w:r>
      <w:r>
        <w:rPr>
          <w:sz w:val="22"/>
        </w:rPr>
        <w:t xml:space="preserve"> Büyük yazı, yüksek kontrast, sesli yönlendirme — görme engelli ve titremesi olan kullanıcılar dâhil.</w:t>
      </w:r>
    </w:p>
    <w:p>
      <w:pPr>
        <w:pStyle w:val="Heading2"/>
      </w:pPr>
      <w:r>
        <w:rPr>
          <w:b w:val="0"/>
          <w:i w:val="0"/>
        </w:rPr>
        <w:t>2.4 Bir Spor ve Hareket Teknolojisi Olarak ViMove</w:t>
      </w:r>
    </w:p>
    <w:p>
      <w:r>
        <w:rPr>
          <w:b w:val="0"/>
          <w:i w:val="0"/>
        </w:rPr>
        <w:t>ViMove özünde bir spor ve hareket teknolojisidir. Profesyonel sporda atletlerin performansını ölçmek ve formunu düzeltmek için kullanılan hareket-yakalama (motion capture) ve poz-tahmini yöntemlerini alır; bunları herkesin — özellikle de spordan ve düzenli fiziksel aktiviteden çoğu zaman dışlanan yaşlı bireyler ve kronik hastaların — günlük egzersizine taşır. Dünya Sağlık Örgütü, fiziksel aktiviteyi sağlıklı yaşlanmanın temeli olarak tanımlar; ViMove bu 'Herkes için Spor' ilkesini, evde, kameraya dayalı kişisel bir antrenöre dönüştürür: hareketi izler, formu doğrular, tekrarı sayar ve ilerlemeyi takip eder — tıpkı bir spor koçu gibi. Görme engelliler için sesli koçluk ve titremesi olanlar için erişilebilir arayüzle bu, kapsayıcı ve uyarlanmış bir spor deneyimidir. Böylece fiziksel aktivite bir ayrıcalık değil, herkesin erişebildiği bir hak hâline gelir.</w:t>
      </w:r>
    </w:p>
    <w:p>
      <w:r>
        <w:br w:type="page"/>
      </w:r>
    </w:p>
    <w:p>
      <w:pPr>
        <w:pStyle w:val="Heading1"/>
      </w:pPr>
      <w:r>
        <w:rPr>
          <w:b w:val="0"/>
          <w:i w:val="0"/>
        </w:rPr>
        <w:t>3. Problem Tanımı ve Hedef Kitle</w:t>
      </w:r>
    </w:p>
    <w:p>
      <w:r>
        <w:rPr>
          <w:b w:val="0"/>
          <w:i w:val="0"/>
        </w:rPr>
        <w:t>Problem, tek cümleyle şöyledir: Fizyoterapi işe yarar, ancak ihtiyaç duyan milyonlarca insan ona düzenli olarak erişemez. Aşağıdaki doğrulanmış küresel veriler, sorunun ve hedef kitlenin ölçeğini ortaya koyar.</w:t>
      </w:r>
    </w:p>
    <w:tbl>
      <w:tblPr>
        <w:tblStyle w:val="TableGrid"/>
        <w:tblW w:type="auto" w:w="0"/>
        <w:jc w:val="center"/>
        <w:tblLook w:firstColumn="1" w:firstRow="1" w:lastColumn="0" w:lastRow="0" w:noHBand="0" w:noVBand="1" w:val="04A0"/>
      </w:tblPr>
      <w:tblGrid>
        <w:gridCol w:w="2880"/>
        <w:gridCol w:w="2880"/>
        <w:gridCol w:w="2880"/>
      </w:tblGrid>
      <w:tr>
        <w:tc>
          <w:tcPr>
            <w:tcW w:type="dxa" w:w="4176"/>
            <w:vAlign w:val="center"/>
            <w:shd w:val="clear" w:fill="0D9488"/>
          </w:tcPr>
          <w:p>
            <w:pPr>
              <w:spacing w:after="40" w:before="40"/>
            </w:pPr>
            <w:r>
              <w:rPr>
                <w:b/>
                <w:color w:val="FFFFFF"/>
                <w:sz w:val="20"/>
              </w:rPr>
            </w:r>
            <w:r>
              <w:rPr>
                <w:b/>
                <w:color w:val="FFFFFF"/>
                <w:sz w:val="20"/>
              </w:rPr>
              <w:t>Gösterge</w:t>
            </w:r>
          </w:p>
        </w:tc>
        <w:tc>
          <w:tcPr>
            <w:tcW w:type="dxa" w:w="3456"/>
            <w:vAlign w:val="center"/>
            <w:shd w:val="clear" w:fill="0D9488"/>
          </w:tcPr>
          <w:p>
            <w:pPr>
              <w:spacing w:after="40" w:before="40"/>
            </w:pPr>
            <w:r>
              <w:rPr>
                <w:b/>
                <w:color w:val="FFFFFF"/>
                <w:sz w:val="20"/>
              </w:rPr>
            </w:r>
            <w:r>
              <w:rPr>
                <w:b/>
                <w:color w:val="FFFFFF"/>
                <w:sz w:val="20"/>
              </w:rPr>
              <w:t>Değer</w:t>
            </w:r>
          </w:p>
        </w:tc>
        <w:tc>
          <w:tcPr>
            <w:tcW w:type="dxa" w:w="2160"/>
            <w:vAlign w:val="center"/>
            <w:shd w:val="clear" w:fill="0D9488"/>
          </w:tcPr>
          <w:p>
            <w:pPr>
              <w:spacing w:after="40" w:before="40"/>
            </w:pPr>
            <w:r>
              <w:rPr>
                <w:b/>
                <w:color w:val="FFFFFF"/>
                <w:sz w:val="20"/>
              </w:rPr>
            </w:r>
            <w:r>
              <w:rPr>
                <w:b/>
                <w:color w:val="FFFFFF"/>
                <w:sz w:val="20"/>
              </w:rPr>
              <w:t>Kaynak</w:t>
            </w:r>
          </w:p>
        </w:tc>
      </w:tr>
      <w:tr>
        <w:tc>
          <w:tcPr>
            <w:tcW w:type="dxa" w:w="4176"/>
            <w:vAlign w:val="center"/>
          </w:tcPr>
          <w:p>
            <w:pPr>
              <w:spacing w:after="40" w:before="40"/>
            </w:pPr>
            <w:r>
              <w:rPr>
                <w:sz w:val="20"/>
              </w:rPr>
            </w:r>
            <w:r>
              <w:rPr>
                <w:sz w:val="20"/>
              </w:rPr>
              <w:t>Rehabilitasyondan fayda görecek birey sayısı</w:t>
            </w:r>
          </w:p>
        </w:tc>
        <w:tc>
          <w:tcPr>
            <w:tcW w:type="dxa" w:w="3456"/>
            <w:vAlign w:val="center"/>
          </w:tcPr>
          <w:p>
            <w:pPr>
              <w:spacing w:after="40" w:before="40"/>
            </w:pPr>
            <w:r>
              <w:rPr>
                <w:sz w:val="20"/>
              </w:rPr>
            </w:r>
            <w:r>
              <w:rPr>
                <w:sz w:val="20"/>
              </w:rPr>
              <w:t>~2,4 milyar (dünya nüfusunun ~1/3'ü)</w:t>
            </w:r>
          </w:p>
        </w:tc>
        <w:tc>
          <w:tcPr>
            <w:tcW w:type="dxa" w:w="2160"/>
            <w:vAlign w:val="center"/>
          </w:tcPr>
          <w:p>
            <w:pPr>
              <w:spacing w:after="40" w:before="40"/>
            </w:pPr>
            <w:r>
              <w:rPr>
                <w:sz w:val="20"/>
              </w:rPr>
            </w:r>
            <w:r>
              <w:rPr>
                <w:sz w:val="20"/>
              </w:rPr>
              <w:t>WHO &amp; IHME</w:t>
            </w:r>
          </w:p>
        </w:tc>
      </w:tr>
      <w:tr>
        <w:tc>
          <w:tcPr>
            <w:tcW w:type="dxa" w:w="4176"/>
            <w:vAlign w:val="center"/>
            <w:shd w:val="clear" w:fill="F2F9F8"/>
          </w:tcPr>
          <w:p>
            <w:pPr>
              <w:spacing w:after="40" w:before="40"/>
            </w:pPr>
            <w:r>
              <w:rPr>
                <w:sz w:val="20"/>
              </w:rPr>
            </w:r>
            <w:r>
              <w:rPr>
                <w:sz w:val="20"/>
              </w:rPr>
              <w:t>1990'dan bu yana bu ihtiyaçtaki artış</w:t>
            </w:r>
          </w:p>
        </w:tc>
        <w:tc>
          <w:tcPr>
            <w:tcW w:type="dxa" w:w="3456"/>
            <w:vAlign w:val="center"/>
            <w:shd w:val="clear" w:fill="F2F9F8"/>
          </w:tcPr>
          <w:p>
            <w:pPr>
              <w:spacing w:after="40" w:before="40"/>
            </w:pPr>
            <w:r>
              <w:rPr>
                <w:sz w:val="20"/>
              </w:rPr>
            </w:r>
            <w:r>
              <w:rPr>
                <w:sz w:val="20"/>
              </w:rPr>
              <w:t>+%63</w:t>
            </w:r>
          </w:p>
        </w:tc>
        <w:tc>
          <w:tcPr>
            <w:tcW w:type="dxa" w:w="2160"/>
            <w:vAlign w:val="center"/>
            <w:shd w:val="clear" w:fill="F2F9F8"/>
          </w:tcPr>
          <w:p>
            <w:pPr>
              <w:spacing w:after="40" w:before="40"/>
            </w:pPr>
            <w:r>
              <w:rPr>
                <w:sz w:val="20"/>
              </w:rPr>
            </w:r>
            <w:r>
              <w:rPr>
                <w:sz w:val="20"/>
              </w:rPr>
              <w:t>WHO &amp; IHME</w:t>
            </w:r>
          </w:p>
        </w:tc>
      </w:tr>
      <w:tr>
        <w:tc>
          <w:tcPr>
            <w:tcW w:type="dxa" w:w="4176"/>
            <w:vAlign w:val="center"/>
          </w:tcPr>
          <w:p>
            <w:pPr>
              <w:spacing w:after="40" w:before="40"/>
            </w:pPr>
            <w:r>
              <w:rPr>
                <w:sz w:val="20"/>
              </w:rPr>
            </w:r>
            <w:r>
              <w:rPr>
                <w:sz w:val="20"/>
              </w:rPr>
              <w:t>Temel sağlık hizmetlerine erişemeyen kişi (2023)</w:t>
            </w:r>
          </w:p>
        </w:tc>
        <w:tc>
          <w:tcPr>
            <w:tcW w:type="dxa" w:w="3456"/>
            <w:vAlign w:val="center"/>
          </w:tcPr>
          <w:p>
            <w:pPr>
              <w:spacing w:after="40" w:before="40"/>
            </w:pPr>
            <w:r>
              <w:rPr>
                <w:sz w:val="20"/>
              </w:rPr>
            </w:r>
            <w:r>
              <w:rPr>
                <w:sz w:val="20"/>
              </w:rPr>
              <w:t>~4,6 milyar (&gt;nüfusun yarısı)</w:t>
            </w:r>
          </w:p>
        </w:tc>
        <w:tc>
          <w:tcPr>
            <w:tcW w:type="dxa" w:w="2160"/>
            <w:vAlign w:val="center"/>
          </w:tcPr>
          <w:p>
            <w:pPr>
              <w:spacing w:after="40" w:before="40"/>
            </w:pPr>
            <w:r>
              <w:rPr>
                <w:sz w:val="20"/>
              </w:rPr>
            </w:r>
            <w:r>
              <w:rPr>
                <w:sz w:val="20"/>
              </w:rPr>
              <w:t>WHO–Dünya Bankası</w:t>
            </w:r>
          </w:p>
        </w:tc>
      </w:tr>
      <w:tr>
        <w:tc>
          <w:tcPr>
            <w:tcW w:type="dxa" w:w="4176"/>
            <w:vAlign w:val="center"/>
            <w:shd w:val="clear" w:fill="F2F9F8"/>
          </w:tcPr>
          <w:p>
            <w:pPr>
              <w:spacing w:after="40" w:before="40"/>
            </w:pPr>
            <w:r>
              <w:rPr>
                <w:sz w:val="20"/>
              </w:rPr>
            </w:r>
            <w:r>
              <w:rPr>
                <w:sz w:val="20"/>
              </w:rPr>
              <w:t>Rehabilitasyona erişemeyenler (düşük/orta gelir)</w:t>
            </w:r>
          </w:p>
        </w:tc>
        <w:tc>
          <w:tcPr>
            <w:tcW w:type="dxa" w:w="3456"/>
            <w:vAlign w:val="center"/>
            <w:shd w:val="clear" w:fill="F2F9F8"/>
          </w:tcPr>
          <w:p>
            <w:pPr>
              <w:spacing w:after="40" w:before="40"/>
            </w:pPr>
            <w:r>
              <w:rPr>
                <w:sz w:val="20"/>
              </w:rPr>
            </w:r>
            <w:r>
              <w:rPr>
                <w:sz w:val="20"/>
              </w:rPr>
              <w:t>İhtiyaç sahiplerinin yarısından fazlası</w:t>
            </w:r>
          </w:p>
        </w:tc>
        <w:tc>
          <w:tcPr>
            <w:tcW w:type="dxa" w:w="2160"/>
            <w:vAlign w:val="center"/>
            <w:shd w:val="clear" w:fill="F2F9F8"/>
          </w:tcPr>
          <w:p>
            <w:pPr>
              <w:spacing w:after="40" w:before="40"/>
            </w:pPr>
            <w:r>
              <w:rPr>
                <w:sz w:val="20"/>
              </w:rPr>
            </w:r>
            <w:r>
              <w:rPr>
                <w:sz w:val="20"/>
              </w:rPr>
              <w:t>WHO</w:t>
            </w:r>
          </w:p>
        </w:tc>
      </w:tr>
      <w:tr>
        <w:tc>
          <w:tcPr>
            <w:tcW w:type="dxa" w:w="4176"/>
            <w:vAlign w:val="center"/>
          </w:tcPr>
          <w:p>
            <w:pPr>
              <w:spacing w:after="40" w:before="40"/>
            </w:pPr>
            <w:r>
              <w:rPr>
                <w:sz w:val="20"/>
              </w:rPr>
            </w:r>
            <w:r>
              <w:rPr>
                <w:sz w:val="20"/>
              </w:rPr>
              <w:t>Dünyada Parkinson hastası (2021)</w:t>
            </w:r>
          </w:p>
        </w:tc>
        <w:tc>
          <w:tcPr>
            <w:tcW w:type="dxa" w:w="3456"/>
            <w:vAlign w:val="center"/>
          </w:tcPr>
          <w:p>
            <w:pPr>
              <w:spacing w:after="40" w:before="40"/>
            </w:pPr>
            <w:r>
              <w:rPr>
                <w:sz w:val="20"/>
              </w:rPr>
            </w:r>
            <w:r>
              <w:rPr>
                <w:sz w:val="20"/>
              </w:rPr>
              <w:t>~11,8 milyon (2050'de ~25 milyon)</w:t>
            </w:r>
          </w:p>
        </w:tc>
        <w:tc>
          <w:tcPr>
            <w:tcW w:type="dxa" w:w="2160"/>
            <w:vAlign w:val="center"/>
          </w:tcPr>
          <w:p>
            <w:pPr>
              <w:spacing w:after="40" w:before="40"/>
            </w:pPr>
            <w:r>
              <w:rPr>
                <w:sz w:val="20"/>
              </w:rPr>
            </w:r>
            <w:r>
              <w:rPr>
                <w:sz w:val="20"/>
              </w:rPr>
              <w:t>GBD 2021 / BMJ</w:t>
            </w:r>
          </w:p>
        </w:tc>
      </w:tr>
      <w:tr>
        <w:tc>
          <w:tcPr>
            <w:tcW w:type="dxa" w:w="4176"/>
            <w:vAlign w:val="center"/>
            <w:shd w:val="clear" w:fill="F2F9F8"/>
          </w:tcPr>
          <w:p>
            <w:pPr>
              <w:spacing w:after="40" w:before="40"/>
            </w:pPr>
            <w:r>
              <w:rPr>
                <w:sz w:val="20"/>
              </w:rPr>
            </w:r>
            <w:r>
              <w:rPr>
                <w:sz w:val="20"/>
              </w:rPr>
              <w:t>İnme etkileriyle yaşayan birey</w:t>
            </w:r>
          </w:p>
        </w:tc>
        <w:tc>
          <w:tcPr>
            <w:tcW w:type="dxa" w:w="3456"/>
            <w:vAlign w:val="center"/>
            <w:shd w:val="clear" w:fill="F2F9F8"/>
          </w:tcPr>
          <w:p>
            <w:pPr>
              <w:spacing w:after="40" w:before="40"/>
            </w:pPr>
            <w:r>
              <w:rPr>
                <w:sz w:val="20"/>
              </w:rPr>
            </w:r>
            <w:r>
              <w:rPr>
                <w:sz w:val="20"/>
              </w:rPr>
              <w:t>~93,8 milyon</w:t>
            </w:r>
          </w:p>
        </w:tc>
        <w:tc>
          <w:tcPr>
            <w:tcW w:type="dxa" w:w="2160"/>
            <w:vAlign w:val="center"/>
            <w:shd w:val="clear" w:fill="F2F9F8"/>
          </w:tcPr>
          <w:p>
            <w:pPr>
              <w:spacing w:after="40" w:before="40"/>
            </w:pPr>
            <w:r>
              <w:rPr>
                <w:sz w:val="20"/>
              </w:rPr>
            </w:r>
            <w:r>
              <w:rPr>
                <w:sz w:val="20"/>
              </w:rPr>
              <w:t>GBD 2021</w:t>
            </w:r>
          </w:p>
        </w:tc>
      </w:tr>
    </w:tbl>
    <w:p>
      <w:pPr>
        <w:spacing w:after="40"/>
      </w:pPr>
    </w:p>
    <w:p>
      <w:r>
        <w:rPr>
          <w:b w:val="0"/>
          <w:i w:val="0"/>
        </w:rPr>
        <w:t>Bu tablo, ViMove'un yalnızca aktif programlarıyla bile (Parkinson ve inme) onlarca milyon kişilik bir kitleye hitap ettiğini; genel erişim açığı düşünüldüğünde ise potansiyel etkisinin milyarlarca insana uzandığını gösterir.</w:t>
      </w:r>
    </w:p>
    <w:p>
      <w:pPr>
        <w:pStyle w:val="Heading2"/>
      </w:pPr>
      <w:r>
        <w:rPr>
          <w:b w:val="0"/>
          <w:i w:val="0"/>
        </w:rPr>
        <w:t>3.1 Neden Mevcut Çözümler Yetersiz?</w:t>
      </w:r>
    </w:p>
    <w:p>
      <w:pPr>
        <w:pStyle w:val="ListBullet"/>
      </w:pPr>
      <w:r>
        <w:rPr>
          <w:b/>
          <w:sz w:val="22"/>
        </w:rPr>
        <w:t xml:space="preserve">Klinik seansları. </w:t>
      </w:r>
      <w:r>
        <w:rPr>
          <w:sz w:val="22"/>
        </w:rPr>
        <w:t xml:space="preserve"> Ulaşım, maliyet ve randevu gerektirir; süreklilik düşüktür.</w:t>
      </w:r>
    </w:p>
    <w:p>
      <w:pPr>
        <w:pStyle w:val="ListBullet"/>
      </w:pPr>
      <w:r>
        <w:rPr>
          <w:b/>
          <w:sz w:val="22"/>
        </w:rPr>
        <w:t xml:space="preserve">Mobil uygulamalar. </w:t>
      </w:r>
      <w:r>
        <w:rPr>
          <w:sz w:val="22"/>
        </w:rPr>
        <w:t xml:space="preserve"> İndirme/kurulum bariyeri vardır ve çoğu hareketi doğrulamaz, yalnızca gösterir.</w:t>
      </w:r>
    </w:p>
    <w:p>
      <w:pPr>
        <w:pStyle w:val="ListBullet"/>
      </w:pPr>
      <w:r>
        <w:rPr>
          <w:b/>
          <w:sz w:val="22"/>
        </w:rPr>
        <w:t xml:space="preserve">Pasif video kütüphaneleri. </w:t>
      </w:r>
      <w:r>
        <w:rPr>
          <w:sz w:val="22"/>
        </w:rPr>
        <w:t xml:space="preserve"> Geri bildirim vermez; kullanıcı doğru yapıp yapmadığını bilemez.</w:t>
      </w:r>
    </w:p>
    <w:p>
      <w:r>
        <w:br w:type="page"/>
      </w:r>
    </w:p>
    <w:p>
      <w:pPr>
        <w:pStyle w:val="Heading1"/>
      </w:pPr>
      <w:r>
        <w:rPr>
          <w:b w:val="0"/>
          <w:i w:val="0"/>
        </w:rPr>
        <w:t>4. Çözüm: ViMove</w:t>
      </w:r>
    </w:p>
    <w:p>
      <w:r>
        <w:rPr>
          <w:b w:val="0"/>
          <w:i w:val="0"/>
        </w:rPr>
        <w:t>ViMove, üç adımda çalışan uçtan uca bir hareket terapisi deneyimidir: (1) Kullanıcı yaşını, cinsiyetini ve durumunu girer; (2) kameraya izin verir; (3) ekrandaki egzersizleri yapar; yapay zekâ hareketi izler, doğrular ve tekrarları sayar. Tüm akış tarayıcıda, kurulumsuz çalışır.</w:t>
      </w:r>
    </w:p>
    <w:p>
      <w:pPr>
        <w:pStyle w:val="Heading2"/>
      </w:pPr>
      <w:r>
        <w:rPr>
          <w:b w:val="0"/>
          <w:i w:val="0"/>
        </w:rPr>
        <w:t>4.1 Öne Çıkan Yetenekler</w:t>
      </w:r>
    </w:p>
    <w:p>
      <w:pPr>
        <w:pStyle w:val="ListBullet"/>
      </w:pPr>
      <w:r>
        <w:rPr>
          <w:b/>
          <w:sz w:val="22"/>
        </w:rPr>
        <w:t xml:space="preserve">Gerçek zamanlı AI takibi. </w:t>
      </w:r>
      <w:r>
        <w:rPr>
          <w:sz w:val="22"/>
        </w:rPr>
        <w:t xml:space="preserve"> El, yüz ve tüm vücutta her karede 500'den fazla anatomik nokta gerçek zamanlı izlenir.</w:t>
      </w:r>
    </w:p>
    <w:p>
      <w:pPr>
        <w:pStyle w:val="ListBullet"/>
      </w:pPr>
      <w:r>
        <w:rPr>
          <w:b/>
          <w:sz w:val="22"/>
        </w:rPr>
        <w:t xml:space="preserve">Kişiselleştirme. </w:t>
      </w:r>
      <w:r>
        <w:rPr>
          <w:sz w:val="22"/>
        </w:rPr>
        <w:t xml:space="preserve"> Yaş, cinsiyet ve duruma göre egzersiz seti ve tekrar hedefleri uyarlanır.</w:t>
      </w:r>
    </w:p>
    <w:p>
      <w:pPr>
        <w:pStyle w:val="ListBullet"/>
      </w:pPr>
      <w:r>
        <w:rPr>
          <w:b/>
          <w:sz w:val="22"/>
        </w:rPr>
        <w:t xml:space="preserve">Otomatik sayım &amp; rapor. </w:t>
      </w:r>
      <w:r>
        <w:rPr>
          <w:sz w:val="22"/>
        </w:rPr>
        <w:t xml:space="preserve"> Sayaç ve ilerleme çubuğu her tekrarı anlık gösterir; seans sonunda hareket-kalite raporu üretilir.</w:t>
      </w:r>
    </w:p>
    <w:p>
      <w:pPr>
        <w:pStyle w:val="ListBullet"/>
      </w:pPr>
      <w:r>
        <w:rPr>
          <w:b/>
          <w:sz w:val="22"/>
        </w:rPr>
        <w:t xml:space="preserve">Erişilebilirlik. </w:t>
      </w:r>
      <w:r>
        <w:rPr>
          <w:sz w:val="22"/>
        </w:rPr>
        <w:t xml:space="preserve"> Sesli yönlendirme, büyük yazı ve yüksek kontrastla görme engelli ve yaşlı kullanıcılara uygundur.</w:t>
      </w:r>
    </w:p>
    <w:p>
      <w:pPr>
        <w:pStyle w:val="ListBullet"/>
      </w:pPr>
      <w:r>
        <w:rPr>
          <w:b/>
          <w:sz w:val="22"/>
        </w:rPr>
        <w:t xml:space="preserve">Gizlilik. </w:t>
      </w:r>
      <w:r>
        <w:rPr>
          <w:sz w:val="22"/>
        </w:rPr>
        <w:t xml:space="preserve"> Görüntü cihazdan çıkmaz; analiz tamamen tarayıcıda yapılır.</w:t>
      </w:r>
    </w:p>
    <w:p>
      <w:pPr>
        <w:pStyle w:val="Heading2"/>
      </w:pPr>
      <w:r>
        <w:rPr>
          <w:b w:val="0"/>
          <w:i w:val="0"/>
        </w:rPr>
        <w:t>4.2 Desteklenen Durumlar</w:t>
      </w:r>
    </w:p>
    <w:tbl>
      <w:tblPr>
        <w:tblStyle w:val="TableGrid"/>
        <w:tblW w:type="auto" w:w="0"/>
        <w:jc w:val="center"/>
        <w:tblLook w:firstColumn="1" w:firstRow="1" w:lastColumn="0" w:lastRow="0" w:noHBand="0" w:noVBand="1" w:val="04A0"/>
      </w:tblPr>
      <w:tblGrid>
        <w:gridCol w:w="2880"/>
        <w:gridCol w:w="2880"/>
        <w:gridCol w:w="2880"/>
      </w:tblGrid>
      <w:tr>
        <w:tc>
          <w:tcPr>
            <w:tcW w:type="dxa" w:w="2736"/>
            <w:vAlign w:val="center"/>
            <w:shd w:val="clear" w:fill="0D9488"/>
          </w:tcPr>
          <w:p>
            <w:pPr>
              <w:spacing w:after="40" w:before="40"/>
            </w:pPr>
            <w:r>
              <w:rPr>
                <w:b/>
                <w:color w:val="FFFFFF"/>
                <w:sz w:val="20"/>
              </w:rPr>
            </w:r>
            <w:r>
              <w:rPr>
                <w:b/>
                <w:color w:val="FFFFFF"/>
                <w:sz w:val="20"/>
              </w:rPr>
              <w:t>Program</w:t>
            </w:r>
          </w:p>
        </w:tc>
        <w:tc>
          <w:tcPr>
            <w:tcW w:type="dxa" w:w="1296"/>
            <w:vAlign w:val="center"/>
            <w:shd w:val="clear" w:fill="0D9488"/>
          </w:tcPr>
          <w:p>
            <w:pPr>
              <w:spacing w:after="40" w:before="40"/>
            </w:pPr>
            <w:r>
              <w:rPr>
                <w:b/>
                <w:color w:val="FFFFFF"/>
                <w:sz w:val="20"/>
              </w:rPr>
            </w:r>
            <w:r>
              <w:rPr>
                <w:b/>
                <w:color w:val="FFFFFF"/>
                <w:sz w:val="20"/>
              </w:rPr>
              <w:t>Durum</w:t>
            </w:r>
          </w:p>
        </w:tc>
        <w:tc>
          <w:tcPr>
            <w:tcW w:type="dxa" w:w="5760"/>
            <w:vAlign w:val="center"/>
            <w:shd w:val="clear" w:fill="0D9488"/>
          </w:tcPr>
          <w:p>
            <w:pPr>
              <w:spacing w:after="40" w:before="40"/>
            </w:pPr>
            <w:r>
              <w:rPr>
                <w:b/>
                <w:color w:val="FFFFFF"/>
                <w:sz w:val="20"/>
              </w:rPr>
            </w:r>
            <w:r>
              <w:rPr>
                <w:b/>
                <w:color w:val="FFFFFF"/>
                <w:sz w:val="20"/>
              </w:rPr>
              <w:t>Klinik Yaklaşım</w:t>
            </w:r>
          </w:p>
        </w:tc>
      </w:tr>
      <w:tr>
        <w:tc>
          <w:tcPr>
            <w:tcW w:type="dxa" w:w="2736"/>
            <w:vAlign w:val="center"/>
          </w:tcPr>
          <w:p>
            <w:pPr>
              <w:spacing w:after="40" w:before="40"/>
            </w:pPr>
            <w:r>
              <w:rPr>
                <w:sz w:val="20"/>
              </w:rPr>
            </w:r>
            <w:r>
              <w:rPr>
                <w:sz w:val="20"/>
              </w:rPr>
              <w:t>Parkinson hastalığı</w:t>
            </w:r>
          </w:p>
        </w:tc>
        <w:tc>
          <w:tcPr>
            <w:tcW w:type="dxa" w:w="1296"/>
            <w:vAlign w:val="center"/>
          </w:tcPr>
          <w:p>
            <w:pPr>
              <w:spacing w:after="40" w:before="40"/>
            </w:pPr>
            <w:r>
              <w:rPr>
                <w:sz w:val="20"/>
              </w:rPr>
            </w:r>
            <w:r>
              <w:rPr>
                <w:sz w:val="20"/>
              </w:rPr>
              <w:t>Aktif</w:t>
            </w:r>
          </w:p>
        </w:tc>
        <w:tc>
          <w:tcPr>
            <w:tcW w:type="dxa" w:w="5760"/>
            <w:vAlign w:val="center"/>
          </w:tcPr>
          <w:p>
            <w:pPr>
              <w:spacing w:after="40" w:before="40"/>
            </w:pPr>
            <w:r>
              <w:rPr>
                <w:sz w:val="20"/>
              </w:rPr>
            </w:r>
            <w:r>
              <w:rPr>
                <w:sz w:val="20"/>
              </w:rPr>
              <w:t>Büyük genlikli hareketler (LSVT BIG), kuvvet, denge, yüz mobilitesi</w:t>
            </w:r>
          </w:p>
        </w:tc>
      </w:tr>
      <w:tr>
        <w:tc>
          <w:tcPr>
            <w:tcW w:type="dxa" w:w="2736"/>
            <w:vAlign w:val="center"/>
            <w:shd w:val="clear" w:fill="F2F9F8"/>
          </w:tcPr>
          <w:p>
            <w:pPr>
              <w:spacing w:after="40" w:before="40"/>
            </w:pPr>
            <w:r>
              <w:rPr>
                <w:sz w:val="20"/>
              </w:rPr>
            </w:r>
            <w:r>
              <w:rPr>
                <w:sz w:val="20"/>
              </w:rPr>
              <w:t>İnme sonrası rehabilitasyon</w:t>
            </w:r>
          </w:p>
        </w:tc>
        <w:tc>
          <w:tcPr>
            <w:tcW w:type="dxa" w:w="1296"/>
            <w:vAlign w:val="center"/>
            <w:shd w:val="clear" w:fill="F2F9F8"/>
          </w:tcPr>
          <w:p>
            <w:pPr>
              <w:spacing w:after="40" w:before="40"/>
            </w:pPr>
            <w:r>
              <w:rPr>
                <w:sz w:val="20"/>
              </w:rPr>
            </w:r>
            <w:r>
              <w:rPr>
                <w:sz w:val="20"/>
              </w:rPr>
              <w:t>Aktif</w:t>
            </w:r>
          </w:p>
        </w:tc>
        <w:tc>
          <w:tcPr>
            <w:tcW w:type="dxa" w:w="5760"/>
            <w:vAlign w:val="center"/>
            <w:shd w:val="clear" w:fill="F2F9F8"/>
          </w:tcPr>
          <w:p>
            <w:pPr>
              <w:spacing w:after="40" w:before="40"/>
            </w:pPr>
            <w:r>
              <w:rPr>
                <w:sz w:val="20"/>
              </w:rPr>
            </w:r>
            <w:r>
              <w:rPr>
                <w:sz w:val="20"/>
              </w:rPr>
              <w:t>Yüksek tekrarlı, göreve özel pratik; iki taraf simetrisi</w:t>
            </w:r>
          </w:p>
        </w:tc>
      </w:tr>
      <w:tr>
        <w:tc>
          <w:tcPr>
            <w:tcW w:type="dxa" w:w="2736"/>
            <w:vAlign w:val="center"/>
          </w:tcPr>
          <w:p>
            <w:pPr>
              <w:spacing w:after="40" w:before="40"/>
            </w:pPr>
            <w:r>
              <w:rPr>
                <w:sz w:val="20"/>
              </w:rPr>
            </w:r>
            <w:r>
              <w:rPr>
                <w:sz w:val="20"/>
              </w:rPr>
              <w:t>Osteoartrit &amp; eklem mobilitesi</w:t>
            </w:r>
          </w:p>
        </w:tc>
        <w:tc>
          <w:tcPr>
            <w:tcW w:type="dxa" w:w="1296"/>
            <w:vAlign w:val="center"/>
          </w:tcPr>
          <w:p>
            <w:pPr>
              <w:spacing w:after="40" w:before="40"/>
            </w:pPr>
            <w:r>
              <w:rPr>
                <w:sz w:val="20"/>
              </w:rPr>
            </w:r>
            <w:r>
              <w:rPr>
                <w:sz w:val="20"/>
              </w:rPr>
              <w:t>Aktif</w:t>
            </w:r>
          </w:p>
        </w:tc>
        <w:tc>
          <w:tcPr>
            <w:tcW w:type="dxa" w:w="5760"/>
            <w:vAlign w:val="center"/>
          </w:tcPr>
          <w:p>
            <w:pPr>
              <w:spacing w:after="40" w:before="40"/>
            </w:pPr>
            <w:r>
              <w:rPr>
                <w:sz w:val="20"/>
              </w:rPr>
            </w:r>
            <w:r>
              <w:rPr>
                <w:sz w:val="20"/>
              </w:rPr>
              <w:t>Eklem hareket açıklığı + düşük yüklü kuvvetlendirme (OARSI/ACR)</w:t>
            </w:r>
          </w:p>
        </w:tc>
      </w:tr>
      <w:tr>
        <w:tc>
          <w:tcPr>
            <w:tcW w:type="dxa" w:w="2736"/>
            <w:vAlign w:val="center"/>
            <w:shd w:val="clear" w:fill="F2F9F8"/>
          </w:tcPr>
          <w:p>
            <w:pPr>
              <w:spacing w:after="40" w:before="40"/>
            </w:pPr>
            <w:r>
              <w:rPr>
                <w:sz w:val="20"/>
              </w:rPr>
            </w:r>
            <w:r>
              <w:rPr>
                <w:sz w:val="20"/>
              </w:rPr>
              <w:t>Denge &amp; düşme önleme</w:t>
            </w:r>
          </w:p>
        </w:tc>
        <w:tc>
          <w:tcPr>
            <w:tcW w:type="dxa" w:w="1296"/>
            <w:vAlign w:val="center"/>
            <w:shd w:val="clear" w:fill="F2F9F8"/>
          </w:tcPr>
          <w:p>
            <w:pPr>
              <w:spacing w:after="40" w:before="40"/>
            </w:pPr>
            <w:r>
              <w:rPr>
                <w:sz w:val="20"/>
              </w:rPr>
            </w:r>
            <w:r>
              <w:rPr>
                <w:sz w:val="20"/>
              </w:rPr>
              <w:t>Aktif</w:t>
            </w:r>
          </w:p>
        </w:tc>
        <w:tc>
          <w:tcPr>
            <w:tcW w:type="dxa" w:w="5760"/>
            <w:vAlign w:val="center"/>
            <w:shd w:val="clear" w:fill="F2F9F8"/>
          </w:tcPr>
          <w:p>
            <w:pPr>
              <w:spacing w:after="40" w:before="40"/>
            </w:pPr>
            <w:r>
              <w:rPr>
                <w:sz w:val="20"/>
              </w:rPr>
            </w:r>
            <w:r>
              <w:rPr>
                <w:sz w:val="20"/>
              </w:rPr>
              <w:t>Alt ekstremite kuvveti — Otago programının kuvvet çekirdeği</w:t>
            </w:r>
          </w:p>
        </w:tc>
      </w:tr>
      <w:tr>
        <w:tc>
          <w:tcPr>
            <w:tcW w:type="dxa" w:w="2736"/>
            <w:vAlign w:val="center"/>
          </w:tcPr>
          <w:p>
            <w:pPr>
              <w:spacing w:after="40" w:before="40"/>
            </w:pPr>
            <w:r>
              <w:rPr>
                <w:sz w:val="20"/>
              </w:rPr>
            </w:r>
            <w:r>
              <w:rPr>
                <w:sz w:val="20"/>
              </w:rPr>
              <w:t>Genel yaşlı kondisyonu</w:t>
            </w:r>
          </w:p>
        </w:tc>
        <w:tc>
          <w:tcPr>
            <w:tcW w:type="dxa" w:w="1296"/>
            <w:vAlign w:val="center"/>
          </w:tcPr>
          <w:p>
            <w:pPr>
              <w:spacing w:after="40" w:before="40"/>
            </w:pPr>
            <w:r>
              <w:rPr>
                <w:sz w:val="20"/>
              </w:rPr>
            </w:r>
            <w:r>
              <w:rPr>
                <w:sz w:val="20"/>
              </w:rPr>
              <w:t>Aktif</w:t>
            </w:r>
          </w:p>
        </w:tc>
        <w:tc>
          <w:tcPr>
            <w:tcW w:type="dxa" w:w="5760"/>
            <w:vAlign w:val="center"/>
          </w:tcPr>
          <w:p>
            <w:pPr>
              <w:spacing w:after="40" w:before="40"/>
            </w:pPr>
            <w:r>
              <w:rPr>
                <w:sz w:val="20"/>
              </w:rPr>
            </w:r>
            <w:r>
              <w:rPr>
                <w:sz w:val="20"/>
              </w:rPr>
              <w:t>WHO 65+ çok bileşenli aktivite önerisi</w:t>
            </w:r>
          </w:p>
        </w:tc>
      </w:tr>
      <w:tr>
        <w:tc>
          <w:tcPr>
            <w:tcW w:type="dxa" w:w="2736"/>
            <w:vAlign w:val="center"/>
            <w:shd w:val="clear" w:fill="F2F9F8"/>
          </w:tcPr>
          <w:p>
            <w:pPr>
              <w:spacing w:after="40" w:before="40"/>
            </w:pPr>
            <w:r>
              <w:rPr>
                <w:sz w:val="20"/>
              </w:rPr>
            </w:r>
            <w:r>
              <w:rPr>
                <w:sz w:val="20"/>
              </w:rPr>
              <w:t>Boyun &amp; bel</w:t>
            </w:r>
          </w:p>
        </w:tc>
        <w:tc>
          <w:tcPr>
            <w:tcW w:type="dxa" w:w="1296"/>
            <w:vAlign w:val="center"/>
            <w:shd w:val="clear" w:fill="F2F9F8"/>
          </w:tcPr>
          <w:p>
            <w:pPr>
              <w:spacing w:after="40" w:before="40"/>
            </w:pPr>
            <w:r>
              <w:rPr>
                <w:sz w:val="20"/>
              </w:rPr>
            </w:r>
            <w:r>
              <w:rPr>
                <w:sz w:val="20"/>
              </w:rPr>
              <w:t>Yakında</w:t>
            </w:r>
          </w:p>
        </w:tc>
        <w:tc>
          <w:tcPr>
            <w:tcW w:type="dxa" w:w="5760"/>
            <w:vAlign w:val="center"/>
            <w:shd w:val="clear" w:fill="F2F9F8"/>
          </w:tcPr>
          <w:p>
            <w:pPr>
              <w:spacing w:after="40" w:before="40"/>
            </w:pPr>
            <w:r>
              <w:rPr>
                <w:sz w:val="20"/>
              </w:rPr>
            </w:r>
            <w:r>
              <w:rPr>
                <w:sz w:val="20"/>
              </w:rPr>
              <w:t>Boyun rotasyonu / gövde eğimi algılaması geliştiriliyor</w:t>
            </w:r>
          </w:p>
        </w:tc>
      </w:tr>
    </w:tbl>
    <w:p>
      <w:pPr>
        <w:spacing w:after="40"/>
      </w:pPr>
    </w:p>
    <w:p>
      <w:r>
        <w:br w:type="page"/>
      </w:r>
    </w:p>
    <w:p>
      <w:pPr>
        <w:pStyle w:val="Heading1"/>
      </w:pPr>
      <w:r>
        <w:rPr>
          <w:b w:val="0"/>
          <w:i w:val="0"/>
        </w:rPr>
        <w:t>5. Teknik Mimari</w:t>
      </w:r>
    </w:p>
    <w:p>
      <w:r>
        <w:rPr>
          <w:b w:val="0"/>
          <w:i w:val="0"/>
        </w:rPr>
        <w:t>ViMove sıfırdan, modern bir web mimarisiyle kodlanmıştır ve üç katmandan oluşur: (1) tarayıcıda çalışan yapay zekâ görü motoru (istemci tarafı), (2) ölçek-bağımsız ölçüm ve tekrar sayım algoritması, (3) kanıt-temelli kişiselleştirme motoru (sunucu tarafı). Aşağıda her katman ayrıntılı olarak açıklanmaktadır.</w:t>
      </w:r>
    </w:p>
    <w:p>
      <w:pPr>
        <w:pStyle w:val="Heading2"/>
      </w:pPr>
      <w:r>
        <w:rPr>
          <w:b w:val="0"/>
          <w:i w:val="0"/>
        </w:rPr>
        <w:t>5.1 Genel Mimari ve Teknoloji Yığını</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center"/>
            <w:shd w:val="clear" w:fill="0D9488"/>
          </w:tcPr>
          <w:p>
            <w:pPr>
              <w:spacing w:after="40" w:before="40"/>
            </w:pPr>
            <w:r>
              <w:rPr>
                <w:b/>
                <w:color w:val="FFFFFF"/>
                <w:sz w:val="20"/>
              </w:rPr>
            </w:r>
            <w:r>
              <w:rPr>
                <w:b/>
                <w:color w:val="FFFFFF"/>
                <w:sz w:val="20"/>
              </w:rPr>
              <w:t>Katman</w:t>
            </w:r>
          </w:p>
        </w:tc>
        <w:tc>
          <w:tcPr>
            <w:tcW w:type="dxa" w:w="4464"/>
            <w:vAlign w:val="center"/>
            <w:shd w:val="clear" w:fill="0D9488"/>
          </w:tcPr>
          <w:p>
            <w:pPr>
              <w:spacing w:after="40" w:before="40"/>
            </w:pPr>
            <w:r>
              <w:rPr>
                <w:b/>
                <w:color w:val="FFFFFF"/>
                <w:sz w:val="20"/>
              </w:rPr>
            </w:r>
            <w:r>
              <w:rPr>
                <w:b/>
                <w:color w:val="FFFFFF"/>
                <w:sz w:val="20"/>
              </w:rPr>
              <w:t>Teknoloji</w:t>
            </w:r>
          </w:p>
        </w:tc>
        <w:tc>
          <w:tcPr>
            <w:tcW w:type="dxa" w:w="3312"/>
            <w:vAlign w:val="center"/>
            <w:shd w:val="clear" w:fill="0D9488"/>
          </w:tcPr>
          <w:p>
            <w:pPr>
              <w:spacing w:after="40" w:before="40"/>
            </w:pPr>
            <w:r>
              <w:rPr>
                <w:b/>
                <w:color w:val="FFFFFF"/>
                <w:sz w:val="20"/>
              </w:rPr>
            </w:r>
            <w:r>
              <w:rPr>
                <w:b/>
                <w:color w:val="FFFFFF"/>
                <w:sz w:val="20"/>
              </w:rPr>
              <w:t>Rol</w:t>
            </w:r>
          </w:p>
        </w:tc>
      </w:tr>
      <w:tr>
        <w:tc>
          <w:tcPr>
            <w:tcW w:type="dxa" w:w="2016"/>
            <w:vAlign w:val="center"/>
          </w:tcPr>
          <w:p>
            <w:pPr>
              <w:spacing w:after="40" w:before="40"/>
            </w:pPr>
            <w:r>
              <w:rPr>
                <w:sz w:val="20"/>
              </w:rPr>
            </w:r>
            <w:r>
              <w:rPr>
                <w:sz w:val="20"/>
              </w:rPr>
              <w:t>İstemci (AI)</w:t>
            </w:r>
          </w:p>
        </w:tc>
        <w:tc>
          <w:tcPr>
            <w:tcW w:type="dxa" w:w="4464"/>
            <w:vAlign w:val="center"/>
          </w:tcPr>
          <w:p>
            <w:pPr>
              <w:spacing w:after="40" w:before="40"/>
            </w:pPr>
            <w:r>
              <w:rPr>
                <w:sz w:val="20"/>
              </w:rPr>
            </w:r>
            <w:r>
              <w:rPr>
                <w:sz w:val="20"/>
              </w:rPr>
              <w:t>JavaScript + MediaPipe Tasks Vision 0.10.8 (WebAssembly)</w:t>
            </w:r>
          </w:p>
        </w:tc>
        <w:tc>
          <w:tcPr>
            <w:tcW w:type="dxa" w:w="3312"/>
            <w:vAlign w:val="center"/>
          </w:tcPr>
          <w:p>
            <w:pPr>
              <w:spacing w:after="40" w:before="40"/>
            </w:pPr>
            <w:r>
              <w:rPr>
                <w:sz w:val="20"/>
              </w:rPr>
            </w:r>
            <w:r>
              <w:rPr>
                <w:sz w:val="20"/>
              </w:rPr>
              <w:t>Cihaz üzerinde gerçek zamanlı hareket algılama</w:t>
            </w:r>
          </w:p>
        </w:tc>
      </w:tr>
      <w:tr>
        <w:tc>
          <w:tcPr>
            <w:tcW w:type="dxa" w:w="2016"/>
            <w:vAlign w:val="center"/>
            <w:shd w:val="clear" w:fill="F2F9F8"/>
          </w:tcPr>
          <w:p>
            <w:pPr>
              <w:spacing w:after="40" w:before="40"/>
            </w:pPr>
            <w:r>
              <w:rPr>
                <w:sz w:val="20"/>
              </w:rPr>
            </w:r>
            <w:r>
              <w:rPr>
                <w:sz w:val="20"/>
              </w:rPr>
              <w:t>İstemci (UI)</w:t>
            </w:r>
          </w:p>
        </w:tc>
        <w:tc>
          <w:tcPr>
            <w:tcW w:type="dxa" w:w="4464"/>
            <w:vAlign w:val="center"/>
            <w:shd w:val="clear" w:fill="F2F9F8"/>
          </w:tcPr>
          <w:p>
            <w:pPr>
              <w:spacing w:after="40" w:before="40"/>
            </w:pPr>
            <w:r>
              <w:rPr>
                <w:sz w:val="20"/>
              </w:rPr>
            </w:r>
            <w:r>
              <w:rPr>
                <w:sz w:val="20"/>
              </w:rPr>
              <w:t>HTML/CSS + hafif i18n (TR/EN)</w:t>
            </w:r>
          </w:p>
        </w:tc>
        <w:tc>
          <w:tcPr>
            <w:tcW w:type="dxa" w:w="3312"/>
            <w:vAlign w:val="center"/>
            <w:shd w:val="clear" w:fill="F2F9F8"/>
          </w:tcPr>
          <w:p>
            <w:pPr>
              <w:spacing w:after="40" w:before="40"/>
            </w:pPr>
            <w:r>
              <w:rPr>
                <w:sz w:val="20"/>
              </w:rPr>
            </w:r>
            <w:r>
              <w:rPr>
                <w:sz w:val="20"/>
              </w:rPr>
              <w:t>Erişilebilir arayüz, canlı sayaç, sesli yönlendirme</w:t>
            </w:r>
          </w:p>
        </w:tc>
      </w:tr>
      <w:tr>
        <w:tc>
          <w:tcPr>
            <w:tcW w:type="dxa" w:w="2016"/>
            <w:vAlign w:val="center"/>
          </w:tcPr>
          <w:p>
            <w:pPr>
              <w:spacing w:after="40" w:before="40"/>
            </w:pPr>
            <w:r>
              <w:rPr>
                <w:sz w:val="20"/>
              </w:rPr>
            </w:r>
            <w:r>
              <w:rPr>
                <w:sz w:val="20"/>
              </w:rPr>
              <w:t>Sunucu</w:t>
            </w:r>
          </w:p>
        </w:tc>
        <w:tc>
          <w:tcPr>
            <w:tcW w:type="dxa" w:w="4464"/>
            <w:vAlign w:val="center"/>
          </w:tcPr>
          <w:p>
            <w:pPr>
              <w:spacing w:after="40" w:before="40"/>
            </w:pPr>
            <w:r>
              <w:rPr>
                <w:sz w:val="20"/>
              </w:rPr>
            </w:r>
            <w:r>
              <w:rPr>
                <w:sz w:val="20"/>
              </w:rPr>
              <w:t>Python + FastAPI + Jinja2</w:t>
            </w:r>
          </w:p>
        </w:tc>
        <w:tc>
          <w:tcPr>
            <w:tcW w:type="dxa" w:w="3312"/>
            <w:vAlign w:val="center"/>
          </w:tcPr>
          <w:p>
            <w:pPr>
              <w:spacing w:after="40" w:before="40"/>
            </w:pPr>
            <w:r>
              <w:rPr>
                <w:sz w:val="20"/>
              </w:rPr>
            </w:r>
            <w:r>
              <w:rPr>
                <w:sz w:val="20"/>
              </w:rPr>
              <w:t>Sayfa sunumu ve kişiye özel program üretimi</w:t>
            </w:r>
          </w:p>
        </w:tc>
      </w:tr>
      <w:tr>
        <w:tc>
          <w:tcPr>
            <w:tcW w:type="dxa" w:w="2016"/>
            <w:vAlign w:val="center"/>
            <w:shd w:val="clear" w:fill="F2F9F8"/>
          </w:tcPr>
          <w:p>
            <w:pPr>
              <w:spacing w:after="40" w:before="40"/>
            </w:pPr>
            <w:r>
              <w:rPr>
                <w:sz w:val="20"/>
              </w:rPr>
            </w:r>
            <w:r>
              <w:rPr>
                <w:sz w:val="20"/>
              </w:rPr>
              <w:t>Bilgi tabanı</w:t>
            </w:r>
          </w:p>
        </w:tc>
        <w:tc>
          <w:tcPr>
            <w:tcW w:type="dxa" w:w="4464"/>
            <w:vAlign w:val="center"/>
            <w:shd w:val="clear" w:fill="F2F9F8"/>
          </w:tcPr>
          <w:p>
            <w:pPr>
              <w:spacing w:after="40" w:before="40"/>
            </w:pPr>
            <w:r>
              <w:rPr>
                <w:sz w:val="20"/>
              </w:rPr>
            </w:r>
            <w:r>
              <w:rPr>
                <w:sz w:val="20"/>
              </w:rPr>
              <w:t>programs.json (klinik kılavuzlar)</w:t>
            </w:r>
          </w:p>
        </w:tc>
        <w:tc>
          <w:tcPr>
            <w:tcW w:type="dxa" w:w="3312"/>
            <w:vAlign w:val="center"/>
            <w:shd w:val="clear" w:fill="F2F9F8"/>
          </w:tcPr>
          <w:p>
            <w:pPr>
              <w:spacing w:after="40" w:before="40"/>
            </w:pPr>
            <w:r>
              <w:rPr>
                <w:sz w:val="20"/>
              </w:rPr>
            </w:r>
            <w:r>
              <w:rPr>
                <w:sz w:val="20"/>
              </w:rPr>
              <w:t>Egzersizler, dozlar ve kaynaklar</w:t>
            </w:r>
          </w:p>
        </w:tc>
      </w:tr>
      <w:tr>
        <w:tc>
          <w:tcPr>
            <w:tcW w:type="dxa" w:w="2016"/>
            <w:vAlign w:val="center"/>
          </w:tcPr>
          <w:p>
            <w:pPr>
              <w:spacing w:after="40" w:before="40"/>
            </w:pPr>
            <w:r>
              <w:rPr>
                <w:sz w:val="20"/>
              </w:rPr>
            </w:r>
            <w:r>
              <w:rPr>
                <w:sz w:val="20"/>
              </w:rPr>
              <w:t>Veri saklama</w:t>
            </w:r>
          </w:p>
        </w:tc>
        <w:tc>
          <w:tcPr>
            <w:tcW w:type="dxa" w:w="4464"/>
            <w:vAlign w:val="center"/>
          </w:tcPr>
          <w:p>
            <w:pPr>
              <w:spacing w:after="40" w:before="40"/>
            </w:pPr>
            <w:r>
              <w:rPr>
                <w:sz w:val="20"/>
              </w:rPr>
            </w:r>
            <w:r>
              <w:rPr>
                <w:sz w:val="20"/>
              </w:rPr>
              <w:t>Tarayıcı localStorage</w:t>
            </w:r>
          </w:p>
        </w:tc>
        <w:tc>
          <w:tcPr>
            <w:tcW w:type="dxa" w:w="3312"/>
            <w:vAlign w:val="center"/>
          </w:tcPr>
          <w:p>
            <w:pPr>
              <w:spacing w:after="40" w:before="40"/>
            </w:pPr>
            <w:r>
              <w:rPr>
                <w:sz w:val="20"/>
              </w:rPr>
            </w:r>
            <w:r>
              <w:rPr>
                <w:sz w:val="20"/>
              </w:rPr>
              <w:t>İlerleme geçmişi (sunucusuz, cihazda)</w:t>
            </w:r>
          </w:p>
        </w:tc>
      </w:tr>
    </w:tbl>
    <w:p>
      <w:pPr>
        <w:spacing w:after="40"/>
      </w:pPr>
    </w:p>
    <w:p>
      <w:r>
        <w:rPr>
          <w:b w:val="0"/>
          <w:i w:val="0"/>
        </w:rPr>
        <w:t>Sunucu video işlemediği için son derece hafiftir ve yatay olarak kolayca ölçeklenir; tüm hesaplama yükü kullanıcının cihazına dağıtılmıştır. Bu sayede tek bir kullanıcıdan milyonlara, ek altyapı maliyeti neredeyse olmadan ulaşmak mümkündür.</w:t>
      </w:r>
    </w:p>
    <w:p>
      <w:pPr>
        <w:pStyle w:val="Heading2"/>
      </w:pPr>
      <w:r>
        <w:rPr>
          <w:b w:val="0"/>
          <w:i w:val="0"/>
        </w:rPr>
        <w:t>5.2 Tarayıcı-içi Yapay Zekâ Motoru</w:t>
      </w:r>
    </w:p>
    <w:p>
      <w:r>
        <w:rPr>
          <w:b w:val="0"/>
          <w:i w:val="0"/>
        </w:rPr>
        <w:t>Görü işleme tamamen kullanıcının cihazında, tarayıcı içinde gerçekleşir. Bunun için Google'ın MediaPipe Tasks Vision kütüphanesinin üç ayrı modeli kullanılır:</w:t>
      </w:r>
    </w:p>
    <w:tbl>
      <w:tblPr>
        <w:tblStyle w:val="TableGrid"/>
        <w:tblW w:type="auto" w:w="0"/>
        <w:jc w:val="center"/>
        <w:tblLook w:firstColumn="1" w:firstRow="1" w:lastColumn="0" w:lastRow="0" w:noHBand="0" w:noVBand="1" w:val="04A0"/>
      </w:tblPr>
      <w:tblGrid>
        <w:gridCol w:w="2880"/>
        <w:gridCol w:w="2880"/>
        <w:gridCol w:w="2880"/>
      </w:tblGrid>
      <w:tr>
        <w:tc>
          <w:tcPr>
            <w:tcW w:type="dxa" w:w="2448"/>
            <w:vAlign w:val="center"/>
            <w:shd w:val="clear" w:fill="0D9488"/>
          </w:tcPr>
          <w:p>
            <w:pPr>
              <w:spacing w:after="40" w:before="40"/>
            </w:pPr>
            <w:r>
              <w:rPr>
                <w:b/>
                <w:color w:val="FFFFFF"/>
                <w:sz w:val="20"/>
              </w:rPr>
            </w:r>
            <w:r>
              <w:rPr>
                <w:b/>
                <w:color w:val="FFFFFF"/>
                <w:sz w:val="20"/>
              </w:rPr>
              <w:t>Model</w:t>
            </w:r>
          </w:p>
        </w:tc>
        <w:tc>
          <w:tcPr>
            <w:tcW w:type="dxa" w:w="4176"/>
            <w:vAlign w:val="center"/>
            <w:shd w:val="clear" w:fill="0D9488"/>
          </w:tcPr>
          <w:p>
            <w:pPr>
              <w:spacing w:after="40" w:before="40"/>
            </w:pPr>
            <w:r>
              <w:rPr>
                <w:b/>
                <w:color w:val="FFFFFF"/>
                <w:sz w:val="20"/>
              </w:rPr>
            </w:r>
            <w:r>
              <w:rPr>
                <w:b/>
                <w:color w:val="FFFFFF"/>
                <w:sz w:val="20"/>
              </w:rPr>
              <w:t>İzlenen Nokta</w:t>
            </w:r>
          </w:p>
        </w:tc>
        <w:tc>
          <w:tcPr>
            <w:tcW w:type="dxa" w:w="3168"/>
            <w:vAlign w:val="center"/>
            <w:shd w:val="clear" w:fill="0D9488"/>
          </w:tcPr>
          <w:p>
            <w:pPr>
              <w:spacing w:after="40" w:before="40"/>
            </w:pPr>
            <w:r>
              <w:rPr>
                <w:b/>
                <w:color w:val="FFFFFF"/>
                <w:sz w:val="20"/>
              </w:rPr>
            </w:r>
            <w:r>
              <w:rPr>
                <w:b/>
                <w:color w:val="FFFFFF"/>
                <w:sz w:val="20"/>
              </w:rPr>
              <w:t>Kullanım</w:t>
            </w:r>
          </w:p>
        </w:tc>
      </w:tr>
      <w:tr>
        <w:tc>
          <w:tcPr>
            <w:tcW w:type="dxa" w:w="2448"/>
            <w:vAlign w:val="center"/>
          </w:tcPr>
          <w:p>
            <w:pPr>
              <w:spacing w:after="40" w:before="40"/>
            </w:pPr>
            <w:r>
              <w:rPr>
                <w:sz w:val="20"/>
              </w:rPr>
            </w:r>
            <w:r>
              <w:rPr>
                <w:sz w:val="20"/>
              </w:rPr>
              <w:t>HandLandmarker</w:t>
            </w:r>
          </w:p>
        </w:tc>
        <w:tc>
          <w:tcPr>
            <w:tcW w:type="dxa" w:w="4176"/>
            <w:vAlign w:val="center"/>
          </w:tcPr>
          <w:p>
            <w:pPr>
              <w:spacing w:after="40" w:before="40"/>
            </w:pPr>
            <w:r>
              <w:rPr>
                <w:sz w:val="20"/>
              </w:rPr>
            </w:r>
            <w:r>
              <w:rPr>
                <w:sz w:val="20"/>
              </w:rPr>
              <w:t>El başına 21 eklem (2 ele kadar)</w:t>
            </w:r>
          </w:p>
        </w:tc>
        <w:tc>
          <w:tcPr>
            <w:tcW w:type="dxa" w:w="3168"/>
            <w:vAlign w:val="center"/>
          </w:tcPr>
          <w:p>
            <w:pPr>
              <w:spacing w:after="40" w:before="40"/>
            </w:pPr>
            <w:r>
              <w:rPr>
                <w:sz w:val="20"/>
              </w:rPr>
            </w:r>
            <w:r>
              <w:rPr>
                <w:sz w:val="20"/>
              </w:rPr>
              <w:t>El açma-kapama, parmak hareketliliği</w:t>
            </w:r>
          </w:p>
        </w:tc>
      </w:tr>
      <w:tr>
        <w:tc>
          <w:tcPr>
            <w:tcW w:type="dxa" w:w="2448"/>
            <w:vAlign w:val="center"/>
            <w:shd w:val="clear" w:fill="F2F9F8"/>
          </w:tcPr>
          <w:p>
            <w:pPr>
              <w:spacing w:after="40" w:before="40"/>
            </w:pPr>
            <w:r>
              <w:rPr>
                <w:sz w:val="20"/>
              </w:rPr>
            </w:r>
            <w:r>
              <w:rPr>
                <w:sz w:val="20"/>
              </w:rPr>
              <w:t>FaceLandmarker</w:t>
            </w:r>
          </w:p>
        </w:tc>
        <w:tc>
          <w:tcPr>
            <w:tcW w:type="dxa" w:w="4176"/>
            <w:vAlign w:val="center"/>
            <w:shd w:val="clear" w:fill="F2F9F8"/>
          </w:tcPr>
          <w:p>
            <w:pPr>
              <w:spacing w:after="40" w:before="40"/>
            </w:pPr>
            <w:r>
              <w:rPr>
                <w:sz w:val="20"/>
              </w:rPr>
            </w:r>
            <w:r>
              <w:rPr>
                <w:sz w:val="20"/>
              </w:rPr>
              <w:t>468 noktalı yüz ağı (face mesh)</w:t>
            </w:r>
          </w:p>
        </w:tc>
        <w:tc>
          <w:tcPr>
            <w:tcW w:type="dxa" w:w="3168"/>
            <w:vAlign w:val="center"/>
            <w:shd w:val="clear" w:fill="F2F9F8"/>
          </w:tcPr>
          <w:p>
            <w:pPr>
              <w:spacing w:after="40" w:before="40"/>
            </w:pPr>
            <w:r>
              <w:rPr>
                <w:sz w:val="20"/>
              </w:rPr>
            </w:r>
            <w:r>
              <w:rPr>
                <w:sz w:val="20"/>
              </w:rPr>
              <w:t>Ağız açma-kapama, göz kırpma</w:t>
            </w:r>
          </w:p>
        </w:tc>
      </w:tr>
      <w:tr>
        <w:tc>
          <w:tcPr>
            <w:tcW w:type="dxa" w:w="2448"/>
            <w:vAlign w:val="center"/>
          </w:tcPr>
          <w:p>
            <w:pPr>
              <w:spacing w:after="40" w:before="40"/>
            </w:pPr>
            <w:r>
              <w:rPr>
                <w:sz w:val="20"/>
              </w:rPr>
            </w:r>
            <w:r>
              <w:rPr>
                <w:sz w:val="20"/>
              </w:rPr>
              <w:t>PoseLandmarker</w:t>
            </w:r>
          </w:p>
        </w:tc>
        <w:tc>
          <w:tcPr>
            <w:tcW w:type="dxa" w:w="4176"/>
            <w:vAlign w:val="center"/>
          </w:tcPr>
          <w:p>
            <w:pPr>
              <w:spacing w:after="40" w:before="40"/>
            </w:pPr>
            <w:r>
              <w:rPr>
                <w:sz w:val="20"/>
              </w:rPr>
            </w:r>
            <w:r>
              <w:rPr>
                <w:sz w:val="20"/>
              </w:rPr>
              <w:t>33 noktalı tüm vücut iskeleti</w:t>
            </w:r>
          </w:p>
        </w:tc>
        <w:tc>
          <w:tcPr>
            <w:tcW w:type="dxa" w:w="3168"/>
            <w:vAlign w:val="center"/>
          </w:tcPr>
          <w:p>
            <w:pPr>
              <w:spacing w:after="40" w:before="40"/>
            </w:pPr>
            <w:r>
              <w:rPr>
                <w:sz w:val="20"/>
              </w:rPr>
            </w:r>
            <w:r>
              <w:rPr>
                <w:sz w:val="20"/>
              </w:rPr>
              <w:t>Kol/bacak hareketi, otur-kalk</w:t>
            </w:r>
          </w:p>
        </w:tc>
      </w:tr>
    </w:tbl>
    <w:p>
      <w:pPr>
        <w:spacing w:after="40"/>
      </w:pPr>
    </w:p>
    <w:p>
      <w:r>
        <w:rPr>
          <w:b w:val="0"/>
          <w:i w:val="0"/>
        </w:rPr>
        <w:t>Performansı en üst düzeye çıkarmak için her karede yalnızca o anki egzersizin ihtiyaç duyduğu model çalıştırılır; gereksiz modeller devre dışı bırakılır. Bu sayede kare hızı (FPS) yüksek kalır ve uygulama, görece düşük donanımlı cihazlarda bile akıcı çalışır. Modeller WebAssembly ile derlenmiş olarak cihaz üzerinde koştuğundan, kamera görüntüsü hiçbir zaman bir sunucuya gönderilmez.</w:t>
      </w:r>
    </w:p>
    <w:p>
      <w:pPr>
        <w:pStyle w:val="Heading2"/>
      </w:pPr>
      <w:r>
        <w:rPr>
          <w:b w:val="0"/>
          <w:i w:val="0"/>
        </w:rPr>
        <w:t>5.3 Ölçek ve Mesafeden Bağımsız Ölçüm</w:t>
      </w:r>
    </w:p>
    <w:p>
      <w:r>
        <w:rPr>
          <w:b w:val="0"/>
          <w:i w:val="0"/>
        </w:rPr>
        <w:t>Ham koordinatlar; kullanıcının boyuna, kameraya uzaklığına ve odanın boyutuna göre değişir. Bu nedenle ViMove her egzersiz için, vücut/el/yüz boyutuna göre normalize edilmiş bir metrik hesaplar. Böylece ölçüm, kişiden ve ortamdan bağımsız tutarlılık kazanır:</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val="clear" w:fill="0D9488"/>
          </w:tcPr>
          <w:p>
            <w:pPr>
              <w:spacing w:after="40" w:before="40"/>
            </w:pPr>
            <w:r>
              <w:rPr>
                <w:b/>
                <w:color w:val="FFFFFF"/>
                <w:sz w:val="20"/>
              </w:rPr>
            </w:r>
            <w:r>
              <w:rPr>
                <w:b/>
                <w:color w:val="FFFFFF"/>
                <w:sz w:val="20"/>
              </w:rPr>
              <w:t>Egzersiz</w:t>
            </w:r>
          </w:p>
        </w:tc>
        <w:tc>
          <w:tcPr>
            <w:tcW w:type="dxa" w:w="4176"/>
            <w:vAlign w:val="center"/>
            <w:shd w:val="clear" w:fill="0D9488"/>
          </w:tcPr>
          <w:p>
            <w:pPr>
              <w:spacing w:after="40" w:before="40"/>
            </w:pPr>
            <w:r>
              <w:rPr>
                <w:b/>
                <w:color w:val="FFFFFF"/>
                <w:sz w:val="20"/>
              </w:rPr>
            </w:r>
            <w:r>
              <w:rPr>
                <w:b/>
                <w:color w:val="FFFFFF"/>
                <w:sz w:val="20"/>
              </w:rPr>
              <w:t>Metrik</w:t>
            </w:r>
          </w:p>
        </w:tc>
        <w:tc>
          <w:tcPr>
            <w:tcW w:type="dxa" w:w="3024"/>
            <w:vAlign w:val="center"/>
            <w:shd w:val="clear" w:fill="0D9488"/>
          </w:tcPr>
          <w:p>
            <w:pPr>
              <w:spacing w:after="40" w:before="40"/>
            </w:pPr>
            <w:r>
              <w:rPr>
                <w:b/>
                <w:color w:val="FFFFFF"/>
                <w:sz w:val="20"/>
              </w:rPr>
            </w:r>
            <w:r>
              <w:rPr>
                <w:b/>
                <w:color w:val="FFFFFF"/>
                <w:sz w:val="20"/>
              </w:rPr>
              <w:t>Normalizasyon</w:t>
            </w:r>
          </w:p>
        </w:tc>
      </w:tr>
      <w:tr>
        <w:tc>
          <w:tcPr>
            <w:tcW w:type="dxa" w:w="2592"/>
            <w:vAlign w:val="center"/>
          </w:tcPr>
          <w:p>
            <w:pPr>
              <w:spacing w:after="40" w:before="40"/>
            </w:pPr>
            <w:r>
              <w:rPr>
                <w:sz w:val="20"/>
              </w:rPr>
            </w:r>
            <w:r>
              <w:rPr>
                <w:sz w:val="20"/>
              </w:rPr>
              <w:t>El açma-kapama</w:t>
            </w:r>
          </w:p>
        </w:tc>
        <w:tc>
          <w:tcPr>
            <w:tcW w:type="dxa" w:w="4176"/>
            <w:vAlign w:val="center"/>
          </w:tcPr>
          <w:p>
            <w:pPr>
              <w:spacing w:after="40" w:before="40"/>
            </w:pPr>
            <w:r>
              <w:rPr>
                <w:sz w:val="20"/>
              </w:rPr>
            </w:r>
            <w:r>
              <w:rPr>
                <w:sz w:val="20"/>
              </w:rPr>
              <w:t>Açık parmak sayısı + süreklilik (açıklık)</w:t>
            </w:r>
          </w:p>
        </w:tc>
        <w:tc>
          <w:tcPr>
            <w:tcW w:type="dxa" w:w="3024"/>
            <w:vAlign w:val="center"/>
          </w:tcPr>
          <w:p>
            <w:pPr>
              <w:spacing w:after="40" w:before="40"/>
            </w:pPr>
            <w:r>
              <w:rPr>
                <w:sz w:val="20"/>
              </w:rPr>
            </w:r>
            <w:r>
              <w:rPr>
                <w:sz w:val="20"/>
              </w:rPr>
              <w:t>Avuç boyuna (bilek–orta parmak) göre</w:t>
            </w:r>
          </w:p>
        </w:tc>
      </w:tr>
      <w:tr>
        <w:tc>
          <w:tcPr>
            <w:tcW w:type="dxa" w:w="2592"/>
            <w:vAlign w:val="center"/>
            <w:shd w:val="clear" w:fill="F2F9F8"/>
          </w:tcPr>
          <w:p>
            <w:pPr>
              <w:spacing w:after="40" w:before="40"/>
            </w:pPr>
            <w:r>
              <w:rPr>
                <w:sz w:val="20"/>
              </w:rPr>
            </w:r>
            <w:r>
              <w:rPr>
                <w:sz w:val="20"/>
              </w:rPr>
              <w:t>Göz kırpma</w:t>
            </w:r>
          </w:p>
        </w:tc>
        <w:tc>
          <w:tcPr>
            <w:tcW w:type="dxa" w:w="4176"/>
            <w:vAlign w:val="center"/>
            <w:shd w:val="clear" w:fill="F2F9F8"/>
          </w:tcPr>
          <w:p>
            <w:pPr>
              <w:spacing w:after="40" w:before="40"/>
            </w:pPr>
            <w:r>
              <w:rPr>
                <w:sz w:val="20"/>
              </w:rPr>
            </w:r>
            <w:r>
              <w:rPr>
                <w:sz w:val="20"/>
              </w:rPr>
              <w:t>Göz En-Boy Oranı (EAR): dikey/yatay</w:t>
            </w:r>
          </w:p>
        </w:tc>
        <w:tc>
          <w:tcPr>
            <w:tcW w:type="dxa" w:w="3024"/>
            <w:vAlign w:val="center"/>
            <w:shd w:val="clear" w:fill="F2F9F8"/>
          </w:tcPr>
          <w:p>
            <w:pPr>
              <w:spacing w:after="40" w:before="40"/>
            </w:pPr>
            <w:r>
              <w:rPr>
                <w:sz w:val="20"/>
              </w:rPr>
            </w:r>
            <w:r>
              <w:rPr>
                <w:sz w:val="20"/>
              </w:rPr>
              <w:t>Gözün kendi genişliğine göre</w:t>
            </w:r>
          </w:p>
        </w:tc>
      </w:tr>
      <w:tr>
        <w:tc>
          <w:tcPr>
            <w:tcW w:type="dxa" w:w="2592"/>
            <w:vAlign w:val="center"/>
          </w:tcPr>
          <w:p>
            <w:pPr>
              <w:spacing w:after="40" w:before="40"/>
            </w:pPr>
            <w:r>
              <w:rPr>
                <w:sz w:val="20"/>
              </w:rPr>
            </w:r>
            <w:r>
              <w:rPr>
                <w:sz w:val="20"/>
              </w:rPr>
              <w:t>Ağız açma-kapama</w:t>
            </w:r>
          </w:p>
        </w:tc>
        <w:tc>
          <w:tcPr>
            <w:tcW w:type="dxa" w:w="4176"/>
            <w:vAlign w:val="center"/>
          </w:tcPr>
          <w:p>
            <w:pPr>
              <w:spacing w:after="40" w:before="40"/>
            </w:pPr>
            <w:r>
              <w:rPr>
                <w:sz w:val="20"/>
              </w:rPr>
            </w:r>
            <w:r>
              <w:rPr>
                <w:sz w:val="20"/>
              </w:rPr>
              <w:t>Dudak açıklığı</w:t>
            </w:r>
          </w:p>
        </w:tc>
        <w:tc>
          <w:tcPr>
            <w:tcW w:type="dxa" w:w="3024"/>
            <w:vAlign w:val="center"/>
          </w:tcPr>
          <w:p>
            <w:pPr>
              <w:spacing w:after="40" w:before="40"/>
            </w:pPr>
            <w:r>
              <w:rPr>
                <w:sz w:val="20"/>
              </w:rPr>
            </w:r>
            <w:r>
              <w:rPr>
                <w:sz w:val="20"/>
              </w:rPr>
              <w:t>Ağız genişliğine göre</w:t>
            </w:r>
          </w:p>
        </w:tc>
      </w:tr>
      <w:tr>
        <w:tc>
          <w:tcPr>
            <w:tcW w:type="dxa" w:w="2592"/>
            <w:vAlign w:val="center"/>
            <w:shd w:val="clear" w:fill="F2F9F8"/>
          </w:tcPr>
          <w:p>
            <w:pPr>
              <w:spacing w:after="40" w:before="40"/>
            </w:pPr>
            <w:r>
              <w:rPr>
                <w:sz w:val="20"/>
              </w:rPr>
            </w:r>
            <w:r>
              <w:rPr>
                <w:sz w:val="20"/>
              </w:rPr>
              <w:t>Bacak açma (abduksiyon)</w:t>
            </w:r>
          </w:p>
        </w:tc>
        <w:tc>
          <w:tcPr>
            <w:tcW w:type="dxa" w:w="4176"/>
            <w:vAlign w:val="center"/>
            <w:shd w:val="clear" w:fill="F2F9F8"/>
          </w:tcPr>
          <w:p>
            <w:pPr>
              <w:spacing w:after="40" w:before="40"/>
            </w:pPr>
            <w:r>
              <w:rPr>
                <w:sz w:val="20"/>
              </w:rPr>
            </w:r>
            <w:r>
              <w:rPr>
                <w:sz w:val="20"/>
              </w:rPr>
              <w:t>Ayak bileğinin kalçaya yatay uzaklığı</w:t>
            </w:r>
          </w:p>
        </w:tc>
        <w:tc>
          <w:tcPr>
            <w:tcW w:type="dxa" w:w="3024"/>
            <w:vAlign w:val="center"/>
            <w:shd w:val="clear" w:fill="F2F9F8"/>
          </w:tcPr>
          <w:p>
            <w:pPr>
              <w:spacing w:after="40" w:before="40"/>
            </w:pPr>
            <w:r>
              <w:rPr>
                <w:sz w:val="20"/>
              </w:rPr>
            </w:r>
            <w:r>
              <w:rPr>
                <w:sz w:val="20"/>
              </w:rPr>
              <w:t>Kalça genişliğine göre</w:t>
            </w:r>
          </w:p>
        </w:tc>
      </w:tr>
      <w:tr>
        <w:tc>
          <w:tcPr>
            <w:tcW w:type="dxa" w:w="2592"/>
            <w:vAlign w:val="center"/>
          </w:tcPr>
          <w:p>
            <w:pPr>
              <w:spacing w:after="40" w:before="40"/>
            </w:pPr>
            <w:r>
              <w:rPr>
                <w:sz w:val="20"/>
              </w:rPr>
            </w:r>
            <w:r>
              <w:rPr>
                <w:sz w:val="20"/>
              </w:rPr>
              <w:t>Kol kaldırma</w:t>
            </w:r>
          </w:p>
        </w:tc>
        <w:tc>
          <w:tcPr>
            <w:tcW w:type="dxa" w:w="4176"/>
            <w:vAlign w:val="center"/>
          </w:tcPr>
          <w:p>
            <w:pPr>
              <w:spacing w:after="40" w:before="40"/>
            </w:pPr>
            <w:r>
              <w:rPr>
                <w:sz w:val="20"/>
              </w:rPr>
            </w:r>
            <w:r>
              <w:rPr>
                <w:sz w:val="20"/>
              </w:rPr>
              <w:t>Bileğin omuza göre yüksekliği</w:t>
            </w:r>
          </w:p>
        </w:tc>
        <w:tc>
          <w:tcPr>
            <w:tcW w:type="dxa" w:w="3024"/>
            <w:vAlign w:val="center"/>
          </w:tcPr>
          <w:p>
            <w:pPr>
              <w:spacing w:after="40" w:before="40"/>
            </w:pPr>
            <w:r>
              <w:rPr>
                <w:sz w:val="20"/>
              </w:rPr>
            </w:r>
            <w:r>
              <w:rPr>
                <w:sz w:val="20"/>
              </w:rPr>
              <w:t>Gövde boyuna göre</w:t>
            </w:r>
          </w:p>
        </w:tc>
      </w:tr>
      <w:tr>
        <w:tc>
          <w:tcPr>
            <w:tcW w:type="dxa" w:w="2592"/>
            <w:vAlign w:val="center"/>
            <w:shd w:val="clear" w:fill="F2F9F8"/>
          </w:tcPr>
          <w:p>
            <w:pPr>
              <w:spacing w:after="40" w:before="40"/>
            </w:pPr>
            <w:r>
              <w:rPr>
                <w:sz w:val="20"/>
              </w:rPr>
            </w:r>
            <w:r>
              <w:rPr>
                <w:sz w:val="20"/>
              </w:rPr>
              <w:t>Otur-kalk</w:t>
            </w:r>
          </w:p>
        </w:tc>
        <w:tc>
          <w:tcPr>
            <w:tcW w:type="dxa" w:w="4176"/>
            <w:vAlign w:val="center"/>
            <w:shd w:val="clear" w:fill="F2F9F8"/>
          </w:tcPr>
          <w:p>
            <w:pPr>
              <w:spacing w:after="40" w:before="40"/>
            </w:pPr>
            <w:r>
              <w:rPr>
                <w:sz w:val="20"/>
              </w:rPr>
            </w:r>
            <w:r>
              <w:rPr>
                <w:sz w:val="20"/>
              </w:rPr>
              <w:t>Burun–ayak bileği yüksekliği + diz açısı</w:t>
            </w:r>
          </w:p>
        </w:tc>
        <w:tc>
          <w:tcPr>
            <w:tcW w:type="dxa" w:w="3024"/>
            <w:vAlign w:val="center"/>
            <w:shd w:val="clear" w:fill="F2F9F8"/>
          </w:tcPr>
          <w:p>
            <w:pPr>
              <w:spacing w:after="40" w:before="40"/>
            </w:pPr>
            <w:r>
              <w:rPr>
                <w:sz w:val="20"/>
              </w:rPr>
            </w:r>
            <w:r>
              <w:rPr>
                <w:sz w:val="20"/>
              </w:rPr>
              <w:t>İlk 45 karede kalibre edilen referansa göre</w:t>
            </w:r>
          </w:p>
        </w:tc>
      </w:tr>
    </w:tbl>
    <w:p>
      <w:pPr>
        <w:spacing w:after="40"/>
      </w:pPr>
    </w:p>
    <w:p>
      <w:r>
        <w:rPr>
          <w:b w:val="0"/>
          <w:i w:val="0"/>
        </w:rPr>
        <w:t>Otur-kalk egzersizi özel bir durumdur: uygulama ilk ~45 karede kullanıcının ayakta referans yüksekliğini öğrenir (kalibrasyon), ardından hem gövde yüksekliğini hem de üç nokta arasındaki diz açısını (kalça–diz–ayak bileği) birlikte değerlendirerek oturma ve kalkmayı güvenilir biçimde ayırt eder.</w:t>
      </w:r>
    </w:p>
    <w:p>
      <w:pPr>
        <w:pStyle w:val="Heading2"/>
      </w:pPr>
      <w:r>
        <w:rPr>
          <w:b w:val="0"/>
          <w:i w:val="0"/>
        </w:rPr>
        <w:t>5.4 Tekrar Sayım Durum Makinesi</w:t>
      </w:r>
    </w:p>
    <w:p>
      <w:r>
        <w:rPr>
          <w:b w:val="0"/>
          <w:i w:val="0"/>
        </w:rPr>
        <w:t>Tüm egzersizler tek bir genel durum makinesiyle sayılır: hareket 'girme' (engage) eşiğini aşınca sistem 'etkin' duruma, 'bırakma' (release) eşiğine dönünce 'dinlenme' durumuna geçer; bir tam döngü (engage → release) bir tekrar sayılır. Yanlış ve çift saymayı önlemek için üç katmanlı bir gürültü koruması uygulanır:</w:t>
      </w:r>
    </w:p>
    <w:p>
      <w:pPr>
        <w:pStyle w:val="ListBullet"/>
      </w:pPr>
      <w:r>
        <w:rPr>
          <w:b/>
          <w:sz w:val="22"/>
        </w:rPr>
        <w:t xml:space="preserve">Histerezis. </w:t>
      </w:r>
      <w:r>
        <w:rPr>
          <w:sz w:val="22"/>
        </w:rPr>
        <w:t xml:space="preserve"> Girme ve bırakma için ayrı eşikler kullanılır; bu sayede sınırda tutulan bir pozisyon iki durum arasında titreşip sahte tekrar üretmez.</w:t>
      </w:r>
    </w:p>
    <w:p>
      <w:pPr>
        <w:pStyle w:val="ListBullet"/>
      </w:pPr>
      <w:r>
        <w:rPr>
          <w:b/>
          <w:sz w:val="22"/>
        </w:rPr>
        <w:t xml:space="preserve">Zamansal yumuşatma. </w:t>
      </w:r>
      <w:r>
        <w:rPr>
          <w:sz w:val="22"/>
        </w:rPr>
        <w:t xml:space="preserve"> Her metrik son 5 karenin ortalamasıyla yumuşatılır, anlık sıçramalar süzülür.</w:t>
      </w:r>
    </w:p>
    <w:p>
      <w:pPr>
        <w:pStyle w:val="ListBullet"/>
      </w:pPr>
      <w:r>
        <w:rPr>
          <w:b/>
          <w:sz w:val="22"/>
        </w:rPr>
        <w:t xml:space="preserve">Zaman tabanlı debounce. </w:t>
      </w:r>
      <w:r>
        <w:rPr>
          <w:sz w:val="22"/>
        </w:rPr>
        <w:t xml:space="preserve"> İki tekrar arasında en az 350 ms beklenir; çok hızlı tekrarlanan sahte sinyaller reddedilir.</w:t>
      </w:r>
    </w:p>
    <w:p>
      <w:r>
        <w:rPr>
          <w:b w:val="0"/>
          <w:i w:val="0"/>
        </w:rPr>
        <w:t>Ek olarak, vücut noktaları için 0,5 görünürlük (visibility) eşiği uygulanır; güvenilir biçimde görünmeyen eklemlerden okuma yapılmaz. Sol/sağ ayrımı, ayna görüntüsü bir kez düzeltilerek tüm sistemde tutarlı kullanılır; böylece sayım ve ekran etiketleri her zaman kullanıcının gerçek tarafıyla eşleşir.</w:t>
      </w:r>
    </w:p>
    <w:p>
      <w:pPr>
        <w:spacing w:after="40"/>
      </w:pPr>
      <w:r>
        <w:rPr>
          <w:b w:val="0"/>
          <w:i/>
          <w:color w:val="555555"/>
        </w:rPr>
        <w:t>Örnek eşik değerleri (normalize metrik üzerinde):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vAlign w:val="center"/>
            <w:shd w:val="clear" w:fill="0D9488"/>
          </w:tcPr>
          <w:p>
            <w:pPr>
              <w:spacing w:after="40" w:before="40"/>
            </w:pPr>
            <w:r>
              <w:rPr>
                <w:b/>
                <w:color w:val="FFFFFF"/>
                <w:sz w:val="20"/>
              </w:rPr>
            </w:r>
            <w:r>
              <w:rPr>
                <w:b/>
                <w:color w:val="FFFFFF"/>
                <w:sz w:val="20"/>
              </w:rPr>
              <w:t>Egzersiz</w:t>
            </w:r>
          </w:p>
        </w:tc>
        <w:tc>
          <w:tcPr>
            <w:tcW w:type="dxa" w:w="2016"/>
            <w:vAlign w:val="center"/>
            <w:shd w:val="clear" w:fill="0D9488"/>
          </w:tcPr>
          <w:p>
            <w:pPr>
              <w:spacing w:after="40" w:before="40"/>
            </w:pPr>
            <w:r>
              <w:rPr>
                <w:b/>
                <w:color w:val="FFFFFF"/>
                <w:sz w:val="20"/>
              </w:rPr>
            </w:r>
            <w:r>
              <w:rPr>
                <w:b/>
                <w:color w:val="FFFFFF"/>
                <w:sz w:val="20"/>
              </w:rPr>
              <w:t>Girme eşiği</w:t>
            </w:r>
          </w:p>
        </w:tc>
        <w:tc>
          <w:tcPr>
            <w:tcW w:type="dxa" w:w="2160"/>
            <w:vAlign w:val="center"/>
            <w:shd w:val="clear" w:fill="0D9488"/>
          </w:tcPr>
          <w:p>
            <w:pPr>
              <w:spacing w:after="40" w:before="40"/>
            </w:pPr>
            <w:r>
              <w:rPr>
                <w:b/>
                <w:color w:val="FFFFFF"/>
                <w:sz w:val="20"/>
              </w:rPr>
            </w:r>
            <w:r>
              <w:rPr>
                <w:b/>
                <w:color w:val="FFFFFF"/>
                <w:sz w:val="20"/>
              </w:rPr>
              <w:t>Bırakma eşiği</w:t>
            </w:r>
          </w:p>
        </w:tc>
        <w:tc>
          <w:tcPr>
            <w:tcW w:type="dxa" w:w="1872"/>
            <w:vAlign w:val="center"/>
            <w:shd w:val="clear" w:fill="0D9488"/>
          </w:tcPr>
          <w:p>
            <w:pPr>
              <w:spacing w:after="40" w:before="40"/>
            </w:pPr>
            <w:r>
              <w:rPr>
                <w:b/>
                <w:color w:val="FFFFFF"/>
                <w:sz w:val="20"/>
              </w:rPr>
            </w:r>
            <w:r>
              <w:rPr>
                <w:b/>
                <w:color w:val="FFFFFF"/>
                <w:sz w:val="20"/>
              </w:rPr>
              <w:t>Yön</w:t>
            </w:r>
          </w:p>
        </w:tc>
      </w:tr>
      <w:tr>
        <w:tc>
          <w:tcPr>
            <w:tcW w:type="dxa" w:w="3744"/>
            <w:vAlign w:val="center"/>
          </w:tcPr>
          <w:p>
            <w:pPr>
              <w:spacing w:after="40" w:before="40"/>
            </w:pPr>
            <w:r>
              <w:rPr>
                <w:sz w:val="20"/>
              </w:rPr>
            </w:r>
            <w:r>
              <w:rPr>
                <w:sz w:val="20"/>
              </w:rPr>
              <w:t>El (parmak sayısı 0–4)</w:t>
            </w:r>
          </w:p>
        </w:tc>
        <w:tc>
          <w:tcPr>
            <w:tcW w:type="dxa" w:w="2016"/>
            <w:vAlign w:val="center"/>
          </w:tcPr>
          <w:p>
            <w:pPr>
              <w:spacing w:after="40" w:before="40"/>
            </w:pPr>
            <w:r>
              <w:rPr>
                <w:sz w:val="20"/>
              </w:rPr>
            </w:r>
            <w:r>
              <w:rPr>
                <w:sz w:val="20"/>
              </w:rPr>
              <w:t>≥ 3,0</w:t>
            </w:r>
          </w:p>
        </w:tc>
        <w:tc>
          <w:tcPr>
            <w:tcW w:type="dxa" w:w="2160"/>
            <w:vAlign w:val="center"/>
          </w:tcPr>
          <w:p>
            <w:pPr>
              <w:spacing w:after="40" w:before="40"/>
            </w:pPr>
            <w:r>
              <w:rPr>
                <w:sz w:val="20"/>
              </w:rPr>
            </w:r>
            <w:r>
              <w:rPr>
                <w:sz w:val="20"/>
              </w:rPr>
              <w:t>≤ 1,5</w:t>
            </w:r>
          </w:p>
        </w:tc>
        <w:tc>
          <w:tcPr>
            <w:tcW w:type="dxa" w:w="1872"/>
            <w:vAlign w:val="center"/>
          </w:tcPr>
          <w:p>
            <w:pPr>
              <w:spacing w:after="40" w:before="40"/>
            </w:pPr>
            <w:r>
              <w:rPr>
                <w:sz w:val="20"/>
              </w:rPr>
            </w:r>
            <w:r>
              <w:rPr>
                <w:sz w:val="20"/>
              </w:rPr>
              <w:t>artan</w:t>
            </w:r>
          </w:p>
        </w:tc>
      </w:tr>
      <w:tr>
        <w:tc>
          <w:tcPr>
            <w:tcW w:type="dxa" w:w="3744"/>
            <w:vAlign w:val="center"/>
            <w:shd w:val="clear" w:fill="F2F9F8"/>
          </w:tcPr>
          <w:p>
            <w:pPr>
              <w:spacing w:after="40" w:before="40"/>
            </w:pPr>
            <w:r>
              <w:rPr>
                <w:sz w:val="20"/>
              </w:rPr>
            </w:r>
            <w:r>
              <w:rPr>
                <w:sz w:val="20"/>
              </w:rPr>
              <w:t>Ağız (açıklık/genişlik)</w:t>
            </w:r>
          </w:p>
        </w:tc>
        <w:tc>
          <w:tcPr>
            <w:tcW w:type="dxa" w:w="2016"/>
            <w:vAlign w:val="center"/>
            <w:shd w:val="clear" w:fill="F2F9F8"/>
          </w:tcPr>
          <w:p>
            <w:pPr>
              <w:spacing w:after="40" w:before="40"/>
            </w:pPr>
            <w:r>
              <w:rPr>
                <w:sz w:val="20"/>
              </w:rPr>
            </w:r>
            <w:r>
              <w:rPr>
                <w:sz w:val="20"/>
              </w:rPr>
              <w:t>≥ 0,45</w:t>
            </w:r>
          </w:p>
        </w:tc>
        <w:tc>
          <w:tcPr>
            <w:tcW w:type="dxa" w:w="2160"/>
            <w:vAlign w:val="center"/>
            <w:shd w:val="clear" w:fill="F2F9F8"/>
          </w:tcPr>
          <w:p>
            <w:pPr>
              <w:spacing w:after="40" w:before="40"/>
            </w:pPr>
            <w:r>
              <w:rPr>
                <w:sz w:val="20"/>
              </w:rPr>
            </w:r>
            <w:r>
              <w:rPr>
                <w:sz w:val="20"/>
              </w:rPr>
              <w:t>≤ 0,25</w:t>
            </w:r>
          </w:p>
        </w:tc>
        <w:tc>
          <w:tcPr>
            <w:tcW w:type="dxa" w:w="1872"/>
            <w:vAlign w:val="center"/>
            <w:shd w:val="clear" w:fill="F2F9F8"/>
          </w:tcPr>
          <w:p>
            <w:pPr>
              <w:spacing w:after="40" w:before="40"/>
            </w:pPr>
            <w:r>
              <w:rPr>
                <w:sz w:val="20"/>
              </w:rPr>
            </w:r>
            <w:r>
              <w:rPr>
                <w:sz w:val="20"/>
              </w:rPr>
              <w:t>artan</w:t>
            </w:r>
          </w:p>
        </w:tc>
      </w:tr>
      <w:tr>
        <w:tc>
          <w:tcPr>
            <w:tcW w:type="dxa" w:w="3744"/>
            <w:vAlign w:val="center"/>
          </w:tcPr>
          <w:p>
            <w:pPr>
              <w:spacing w:after="40" w:before="40"/>
            </w:pPr>
            <w:r>
              <w:rPr>
                <w:sz w:val="20"/>
              </w:rPr>
            </w:r>
            <w:r>
              <w:rPr>
                <w:sz w:val="20"/>
              </w:rPr>
              <w:t>Göz (EAR; kapalı = düşük)</w:t>
            </w:r>
          </w:p>
        </w:tc>
        <w:tc>
          <w:tcPr>
            <w:tcW w:type="dxa" w:w="2016"/>
            <w:vAlign w:val="center"/>
          </w:tcPr>
          <w:p>
            <w:pPr>
              <w:spacing w:after="40" w:before="40"/>
            </w:pPr>
            <w:r>
              <w:rPr>
                <w:sz w:val="20"/>
              </w:rPr>
            </w:r>
            <w:r>
              <w:rPr>
                <w:sz w:val="20"/>
              </w:rPr>
              <w:t>≤ 0,16</w:t>
            </w:r>
          </w:p>
        </w:tc>
        <w:tc>
          <w:tcPr>
            <w:tcW w:type="dxa" w:w="2160"/>
            <w:vAlign w:val="center"/>
          </w:tcPr>
          <w:p>
            <w:pPr>
              <w:spacing w:after="40" w:before="40"/>
            </w:pPr>
            <w:r>
              <w:rPr>
                <w:sz w:val="20"/>
              </w:rPr>
            </w:r>
            <w:r>
              <w:rPr>
                <w:sz w:val="20"/>
              </w:rPr>
              <w:t>≥ 0,26</w:t>
            </w:r>
          </w:p>
        </w:tc>
        <w:tc>
          <w:tcPr>
            <w:tcW w:type="dxa" w:w="1872"/>
            <w:vAlign w:val="center"/>
          </w:tcPr>
          <w:p>
            <w:pPr>
              <w:spacing w:after="40" w:before="40"/>
            </w:pPr>
            <w:r>
              <w:rPr>
                <w:sz w:val="20"/>
              </w:rPr>
            </w:r>
            <w:r>
              <w:rPr>
                <w:sz w:val="20"/>
              </w:rPr>
              <w:t>azalan</w:t>
            </w:r>
          </w:p>
        </w:tc>
      </w:tr>
      <w:tr>
        <w:tc>
          <w:tcPr>
            <w:tcW w:type="dxa" w:w="3744"/>
            <w:vAlign w:val="center"/>
            <w:shd w:val="clear" w:fill="F2F9F8"/>
          </w:tcPr>
          <w:p>
            <w:pPr>
              <w:spacing w:after="40" w:before="40"/>
            </w:pPr>
            <w:r>
              <w:rPr>
                <w:sz w:val="20"/>
              </w:rPr>
            </w:r>
            <w:r>
              <w:rPr>
                <w:sz w:val="20"/>
              </w:rPr>
              <w:t>Bacak (offset/kalça)</w:t>
            </w:r>
          </w:p>
        </w:tc>
        <w:tc>
          <w:tcPr>
            <w:tcW w:type="dxa" w:w="2016"/>
            <w:vAlign w:val="center"/>
            <w:shd w:val="clear" w:fill="F2F9F8"/>
          </w:tcPr>
          <w:p>
            <w:pPr>
              <w:spacing w:after="40" w:before="40"/>
            </w:pPr>
            <w:r>
              <w:rPr>
                <w:sz w:val="20"/>
              </w:rPr>
            </w:r>
            <w:r>
              <w:rPr>
                <w:sz w:val="20"/>
              </w:rPr>
              <w:t>≥ 0,85</w:t>
            </w:r>
          </w:p>
        </w:tc>
        <w:tc>
          <w:tcPr>
            <w:tcW w:type="dxa" w:w="2160"/>
            <w:vAlign w:val="center"/>
            <w:shd w:val="clear" w:fill="F2F9F8"/>
          </w:tcPr>
          <w:p>
            <w:pPr>
              <w:spacing w:after="40" w:before="40"/>
            </w:pPr>
            <w:r>
              <w:rPr>
                <w:sz w:val="20"/>
              </w:rPr>
            </w:r>
            <w:r>
              <w:rPr>
                <w:sz w:val="20"/>
              </w:rPr>
              <w:t>≤ 0,45</w:t>
            </w:r>
          </w:p>
        </w:tc>
        <w:tc>
          <w:tcPr>
            <w:tcW w:type="dxa" w:w="1872"/>
            <w:vAlign w:val="center"/>
            <w:shd w:val="clear" w:fill="F2F9F8"/>
          </w:tcPr>
          <w:p>
            <w:pPr>
              <w:spacing w:after="40" w:before="40"/>
            </w:pPr>
            <w:r>
              <w:rPr>
                <w:sz w:val="20"/>
              </w:rPr>
            </w:r>
            <w:r>
              <w:rPr>
                <w:sz w:val="20"/>
              </w:rPr>
              <w:t>artan</w:t>
            </w:r>
          </w:p>
        </w:tc>
      </w:tr>
      <w:tr>
        <w:tc>
          <w:tcPr>
            <w:tcW w:type="dxa" w:w="3744"/>
            <w:vAlign w:val="center"/>
          </w:tcPr>
          <w:p>
            <w:pPr>
              <w:spacing w:after="40" w:before="40"/>
            </w:pPr>
            <w:r>
              <w:rPr>
                <w:sz w:val="20"/>
              </w:rPr>
            </w:r>
            <w:r>
              <w:rPr>
                <w:sz w:val="20"/>
              </w:rPr>
              <w:t>Kol (yükseklik/gövde)</w:t>
            </w:r>
          </w:p>
        </w:tc>
        <w:tc>
          <w:tcPr>
            <w:tcW w:type="dxa" w:w="2016"/>
            <w:vAlign w:val="center"/>
          </w:tcPr>
          <w:p>
            <w:pPr>
              <w:spacing w:after="40" w:before="40"/>
            </w:pPr>
            <w:r>
              <w:rPr>
                <w:sz w:val="20"/>
              </w:rPr>
            </w:r>
            <w:r>
              <w:rPr>
                <w:sz w:val="20"/>
              </w:rPr>
              <w:t>≥ 0,28</w:t>
            </w:r>
          </w:p>
        </w:tc>
        <w:tc>
          <w:tcPr>
            <w:tcW w:type="dxa" w:w="2160"/>
            <w:vAlign w:val="center"/>
          </w:tcPr>
          <w:p>
            <w:pPr>
              <w:spacing w:after="40" w:before="40"/>
            </w:pPr>
            <w:r>
              <w:rPr>
                <w:sz w:val="20"/>
              </w:rPr>
            </w:r>
            <w:r>
              <w:rPr>
                <w:sz w:val="20"/>
              </w:rPr>
              <w:t>≤ 0,05</w:t>
            </w:r>
          </w:p>
        </w:tc>
        <w:tc>
          <w:tcPr>
            <w:tcW w:type="dxa" w:w="1872"/>
            <w:vAlign w:val="center"/>
          </w:tcPr>
          <w:p>
            <w:pPr>
              <w:spacing w:after="40" w:before="40"/>
            </w:pPr>
            <w:r>
              <w:rPr>
                <w:sz w:val="20"/>
              </w:rPr>
            </w:r>
            <w:r>
              <w:rPr>
                <w:sz w:val="20"/>
              </w:rPr>
              <w:t>artan</w:t>
            </w:r>
          </w:p>
        </w:tc>
      </w:tr>
    </w:tbl>
    <w:p>
      <w:pPr>
        <w:spacing w:after="40"/>
      </w:pPr>
    </w:p>
    <w:p>
      <w:pPr>
        <w:pStyle w:val="Heading2"/>
      </w:pPr>
      <w:r>
        <w:rPr>
          <w:b w:val="0"/>
          <w:i w:val="0"/>
        </w:rPr>
        <w:t>5.5 Kanıt-Temelli Kişiselleştirme Motoru</w:t>
      </w:r>
    </w:p>
    <w:p>
      <w:r>
        <w:rPr>
          <w:b w:val="0"/>
          <w:i w:val="0"/>
        </w:rPr>
        <w:t>Sunucu tarafında, kural-tabanlı bir motor (program_engine.py) klinik kılavuzlardan derlenmiş bir bilgi tabanını (programs.json) okuyarak kullanıcıya özel program üretir. Duruma göre egzersiz seti seçilir; başlangıç tekrar hedefleri ise yaş kademelerine göre ölçeklenir. Bu ölçekleme, ACSM'in bireysel-ilerleme ilkesine dayanır:</w:t>
      </w:r>
    </w:p>
    <w:tbl>
      <w:tblPr>
        <w:tblStyle w:val="TableGrid"/>
        <w:tblW w:type="auto" w:w="0"/>
        <w:jc w:val="center"/>
        <w:tblLook w:firstColumn="1" w:firstRow="1" w:lastColumn="0" w:lastRow="0" w:noHBand="0" w:noVBand="1" w:val="04A0"/>
      </w:tblPr>
      <w:tblGrid>
        <w:gridCol w:w="2880"/>
        <w:gridCol w:w="2880"/>
        <w:gridCol w:w="2880"/>
      </w:tblGrid>
      <w:tr>
        <w:tc>
          <w:tcPr>
            <w:tcW w:type="dxa" w:w="3168"/>
            <w:vAlign w:val="center"/>
            <w:shd w:val="clear" w:fill="0D9488"/>
          </w:tcPr>
          <w:p>
            <w:pPr>
              <w:spacing w:after="40" w:before="40"/>
            </w:pPr>
            <w:r>
              <w:rPr>
                <w:b/>
                <w:color w:val="FFFFFF"/>
                <w:sz w:val="20"/>
              </w:rPr>
            </w:r>
            <w:r>
              <w:rPr>
                <w:b/>
                <w:color w:val="FFFFFF"/>
                <w:sz w:val="20"/>
              </w:rPr>
              <w:t>Yaş aralığı</w:t>
            </w:r>
          </w:p>
        </w:tc>
        <w:tc>
          <w:tcPr>
            <w:tcW w:type="dxa" w:w="3168"/>
            <w:vAlign w:val="center"/>
            <w:shd w:val="clear" w:fill="0D9488"/>
          </w:tcPr>
          <w:p>
            <w:pPr>
              <w:spacing w:after="40" w:before="40"/>
            </w:pPr>
            <w:r>
              <w:rPr>
                <w:b/>
                <w:color w:val="FFFFFF"/>
                <w:sz w:val="20"/>
              </w:rPr>
            </w:r>
            <w:r>
              <w:rPr>
                <w:b/>
                <w:color w:val="FFFFFF"/>
                <w:sz w:val="20"/>
              </w:rPr>
              <w:t>Seviye</w:t>
            </w:r>
          </w:p>
        </w:tc>
        <w:tc>
          <w:tcPr>
            <w:tcW w:type="dxa" w:w="2880"/>
            <w:vAlign w:val="center"/>
            <w:shd w:val="clear" w:fill="0D9488"/>
          </w:tcPr>
          <w:p>
            <w:pPr>
              <w:spacing w:after="40" w:before="40"/>
            </w:pPr>
            <w:r>
              <w:rPr>
                <w:b/>
                <w:color w:val="FFFFFF"/>
                <w:sz w:val="20"/>
              </w:rPr>
            </w:r>
            <w:r>
              <w:rPr>
                <w:b/>
                <w:color w:val="FFFFFF"/>
                <w:sz w:val="20"/>
              </w:rPr>
              <w:t>Tekrar çarpanı</w:t>
            </w:r>
          </w:p>
        </w:tc>
      </w:tr>
      <w:tr>
        <w:tc>
          <w:tcPr>
            <w:tcW w:type="dxa" w:w="3168"/>
            <w:vAlign w:val="center"/>
          </w:tcPr>
          <w:p>
            <w:pPr>
              <w:spacing w:after="40" w:before="40"/>
            </w:pPr>
            <w:r>
              <w:rPr>
                <w:sz w:val="20"/>
              </w:rPr>
            </w:r>
            <w:r>
              <w:rPr>
                <w:sz w:val="20"/>
              </w:rPr>
              <w:t>≤ 59</w:t>
            </w:r>
          </w:p>
        </w:tc>
        <w:tc>
          <w:tcPr>
            <w:tcW w:type="dxa" w:w="3168"/>
            <w:vAlign w:val="center"/>
          </w:tcPr>
          <w:p>
            <w:pPr>
              <w:spacing w:after="40" w:before="40"/>
            </w:pPr>
            <w:r>
              <w:rPr>
                <w:sz w:val="20"/>
              </w:rPr>
            </w:r>
            <w:r>
              <w:rPr>
                <w:sz w:val="20"/>
              </w:rPr>
              <w:t>Standart</w:t>
            </w:r>
          </w:p>
        </w:tc>
        <w:tc>
          <w:tcPr>
            <w:tcW w:type="dxa" w:w="2880"/>
            <w:vAlign w:val="center"/>
          </w:tcPr>
          <w:p>
            <w:pPr>
              <w:spacing w:after="40" w:before="40"/>
            </w:pPr>
            <w:r>
              <w:rPr>
                <w:sz w:val="20"/>
              </w:rPr>
            </w:r>
            <w:r>
              <w:rPr>
                <w:sz w:val="20"/>
              </w:rPr>
              <w:t>× 1,0</w:t>
            </w:r>
          </w:p>
        </w:tc>
      </w:tr>
      <w:tr>
        <w:tc>
          <w:tcPr>
            <w:tcW w:type="dxa" w:w="3168"/>
            <w:vAlign w:val="center"/>
            <w:shd w:val="clear" w:fill="F2F9F8"/>
          </w:tcPr>
          <w:p>
            <w:pPr>
              <w:spacing w:after="40" w:before="40"/>
            </w:pPr>
            <w:r>
              <w:rPr>
                <w:sz w:val="20"/>
              </w:rPr>
            </w:r>
            <w:r>
              <w:rPr>
                <w:sz w:val="20"/>
              </w:rPr>
              <w:t>60 – 74</w:t>
            </w:r>
          </w:p>
        </w:tc>
        <w:tc>
          <w:tcPr>
            <w:tcW w:type="dxa" w:w="3168"/>
            <w:vAlign w:val="center"/>
            <w:shd w:val="clear" w:fill="F2F9F8"/>
          </w:tcPr>
          <w:p>
            <w:pPr>
              <w:spacing w:after="40" w:before="40"/>
            </w:pPr>
            <w:r>
              <w:rPr>
                <w:sz w:val="20"/>
              </w:rPr>
            </w:r>
            <w:r>
              <w:rPr>
                <w:sz w:val="20"/>
              </w:rPr>
              <w:t>Orta</w:t>
            </w:r>
          </w:p>
        </w:tc>
        <w:tc>
          <w:tcPr>
            <w:tcW w:type="dxa" w:w="2880"/>
            <w:vAlign w:val="center"/>
            <w:shd w:val="clear" w:fill="F2F9F8"/>
          </w:tcPr>
          <w:p>
            <w:pPr>
              <w:spacing w:after="40" w:before="40"/>
            </w:pPr>
            <w:r>
              <w:rPr>
                <w:sz w:val="20"/>
              </w:rPr>
            </w:r>
            <w:r>
              <w:rPr>
                <w:sz w:val="20"/>
              </w:rPr>
              <w:t>× 0,8</w:t>
            </w:r>
          </w:p>
        </w:tc>
      </w:tr>
      <w:tr>
        <w:tc>
          <w:tcPr>
            <w:tcW w:type="dxa" w:w="3168"/>
            <w:vAlign w:val="center"/>
          </w:tcPr>
          <w:p>
            <w:pPr>
              <w:spacing w:after="40" w:before="40"/>
            </w:pPr>
            <w:r>
              <w:rPr>
                <w:sz w:val="20"/>
              </w:rPr>
            </w:r>
            <w:r>
              <w:rPr>
                <w:sz w:val="20"/>
              </w:rPr>
              <w:t>75 ve üzeri</w:t>
            </w:r>
          </w:p>
        </w:tc>
        <w:tc>
          <w:tcPr>
            <w:tcW w:type="dxa" w:w="3168"/>
            <w:vAlign w:val="center"/>
          </w:tcPr>
          <w:p>
            <w:pPr>
              <w:spacing w:after="40" w:before="40"/>
            </w:pPr>
            <w:r>
              <w:rPr>
                <w:sz w:val="20"/>
              </w:rPr>
            </w:r>
            <w:r>
              <w:rPr>
                <w:sz w:val="20"/>
              </w:rPr>
              <w:t>Nazik</w:t>
            </w:r>
          </w:p>
        </w:tc>
        <w:tc>
          <w:tcPr>
            <w:tcW w:type="dxa" w:w="2880"/>
            <w:vAlign w:val="center"/>
          </w:tcPr>
          <w:p>
            <w:pPr>
              <w:spacing w:after="40" w:before="40"/>
            </w:pPr>
            <w:r>
              <w:rPr>
                <w:sz w:val="20"/>
              </w:rPr>
            </w:r>
            <w:r>
              <w:rPr>
                <w:sz w:val="20"/>
              </w:rPr>
              <w:t>× 0,6</w:t>
            </w:r>
          </w:p>
        </w:tc>
      </w:tr>
    </w:tbl>
    <w:p>
      <w:pPr>
        <w:spacing w:after="40"/>
      </w:pPr>
    </w:p>
    <w:p>
      <w:r>
        <w:rPr>
          <w:b w:val="0"/>
          <w:i w:val="0"/>
        </w:rPr>
        <w:t>Minimum tekrar sayısı 3 ile sınırlandırılır; böylece çok ileri yaşta bile anlamlı bir egzersiz dozu korunur. Cinsiyet bilgisi kaydedilir ancak egzersiz seçimini değiştirmez — bu, mevcut kanıtların bu durumlar için cinsiyete özel seçimi desteklememesi nedeniyle bilinçli bir tasarım kararıdır. Tekrar hedefleri tıbbi bir reçete değil, klinik kılavuzlardan türetilmiş ve bir uzmanla gözden geçirilmesi önerilen başlangıç noktalarıdır.</w:t>
      </w:r>
    </w:p>
    <w:p>
      <w:pPr>
        <w:pStyle w:val="Heading2"/>
      </w:pPr>
      <w:r>
        <w:rPr>
          <w:b w:val="0"/>
          <w:i w:val="0"/>
        </w:rPr>
        <w:t>5.6 Hareket-Kalite Analizi ve Seans Raporu</w:t>
      </w:r>
    </w:p>
    <w:p>
      <w:r>
        <w:rPr>
          <w:b w:val="0"/>
          <w:i w:val="0"/>
        </w:rPr>
        <w:t>ViMove yalnızca tekrar saymakla kalmaz; her tekrarın tepe genliğini (hareket açıklığı, ROM) ve süresini kaydeder ve seans sonunda kişiye özel, kanıtla ilişkili bir hareket-kalite raporu üretir. Hesaplanan başlıca göstergeler:</w:t>
      </w:r>
    </w:p>
    <w:p>
      <w:pPr>
        <w:pStyle w:val="ListBullet"/>
      </w:pPr>
      <w:r>
        <w:rPr>
          <w:b/>
          <w:sz w:val="22"/>
        </w:rPr>
        <w:t xml:space="preserve">Tutarlılık (1 − CV). </w:t>
      </w:r>
      <w:r>
        <w:rPr>
          <w:sz w:val="22"/>
        </w:rPr>
        <w:t xml:space="preserve"> Tepe genliklerin değişim katsayısından (CV) türetilir; hareketin ne kadar tutarlı yapıldığını gösterir.</w:t>
      </w:r>
    </w:p>
    <w:p>
      <w:pPr>
        <w:pStyle w:val="ListBullet"/>
      </w:pPr>
      <w:r>
        <w:rPr>
          <w:b/>
          <w:sz w:val="22"/>
        </w:rPr>
        <w:t xml:space="preserve">Tempo. </w:t>
      </w:r>
      <w:r>
        <w:rPr>
          <w:sz w:val="22"/>
        </w:rPr>
        <w:t xml:space="preserve"> Tekrar başına ortalama süre; hareketin temposunu yansıtır.</w:t>
      </w:r>
    </w:p>
    <w:p>
      <w:pPr>
        <w:pStyle w:val="ListBullet"/>
      </w:pPr>
      <w:r>
        <w:rPr>
          <w:b/>
          <w:sz w:val="22"/>
        </w:rPr>
        <w:t xml:space="preserve">Azalma (decrement). </w:t>
      </w:r>
      <w:r>
        <w:rPr>
          <w:sz w:val="22"/>
        </w:rPr>
        <w:t xml:space="preserve"> Setin ilk üçte biri ile son üçte biri karşılaştırılır; Parkinson'da sık görülen 'sequence effect' (set boyunca hareketin küçülmesi) tespit edilir.</w:t>
      </w:r>
    </w:p>
    <w:p>
      <w:pPr>
        <w:pStyle w:val="ListBullet"/>
      </w:pPr>
      <w:r>
        <w:rPr>
          <w:b/>
          <w:sz w:val="22"/>
        </w:rPr>
        <w:t xml:space="preserve">Sol/sağ simetri. </w:t>
      </w:r>
      <w:r>
        <w:rPr>
          <w:sz w:val="22"/>
        </w:rPr>
        <w:t xml:space="preserve"> Eşlenik (sol/sağ) hareketlerde genlik farkı 1 − |R−L|/(R+L) ile ölçülür; asimetri uyarısı verir.</w:t>
      </w:r>
    </w:p>
    <w:p>
      <w:r>
        <w:rPr>
          <w:b w:val="0"/>
          <w:i w:val="0"/>
        </w:rPr>
        <w:t>Bu göstergeler, tamamlanma oranı, ortalama tutarlılık ve ortalama simetriden 100 üzerinden bir genel skora dönüştürülür. Sistem; %80'in altındaki simetri, %20 ve üzeri genlik azalması veya %55'in altındaki tutarlılık gibi durumlarda kullanıcıyı bilgilendiren notlar üretir. Önemle vurgulanır ki bu özet, kameraya dayalı bir öz-izleme taramasıdır; klinik bir ölçüm ya da teşhis değildir ve en çok kişinin kendi geçmiş seanslarıyla kıyaslandığında anlamlıdır.</w:t>
      </w:r>
    </w:p>
    <w:p>
      <w:pPr>
        <w:pStyle w:val="Heading2"/>
      </w:pPr>
      <w:r>
        <w:rPr>
          <w:b w:val="0"/>
          <w:i w:val="0"/>
        </w:rPr>
        <w:t>5.7 İlerleme Takibi</w:t>
      </w:r>
    </w:p>
    <w:p>
      <w:r>
        <w:rPr>
          <w:b w:val="0"/>
          <w:i w:val="0"/>
        </w:rPr>
        <w:t>Tamamlanan her seans, tarayıcının localStorage alanına özetlenerek kaydedilir ve ayrı bir ilerleme panosunda (genel skor, sol/sağ simetri ve seans başına tekrar) zaman içindeki eğilim grafikleriyle gösterilir. Tüm bu veriler cihazda kalır; herhangi bir sunucuya gönderilmez.</w:t>
      </w:r>
    </w:p>
    <w:p>
      <w:pPr>
        <w:pStyle w:val="Heading2"/>
      </w:pPr>
      <w:r>
        <w:rPr>
          <w:b w:val="0"/>
          <w:i w:val="0"/>
        </w:rPr>
        <w:t>5.8 Gizlilik ve Güvenlik</w:t>
      </w:r>
    </w:p>
    <w:p>
      <w:pPr>
        <w:pStyle w:val="ListBullet"/>
      </w:pPr>
      <w:r>
        <w:rPr>
          <w:b/>
          <w:sz w:val="22"/>
        </w:rPr>
        <w:t xml:space="preserve">Cihaz-içi işleme. </w:t>
      </w:r>
      <w:r>
        <w:rPr>
          <w:sz w:val="22"/>
        </w:rPr>
        <w:t xml:space="preserve"> Tüm görü işleme tarayıcıda yapılır; kamera akışı cihazdan asla çıkmaz.</w:t>
      </w:r>
    </w:p>
    <w:p>
      <w:pPr>
        <w:pStyle w:val="ListBullet"/>
      </w:pPr>
      <w:r>
        <w:rPr>
          <w:b/>
          <w:sz w:val="22"/>
        </w:rPr>
        <w:t xml:space="preserve">Güvenlik başlıkları. </w:t>
      </w:r>
      <w:r>
        <w:rPr>
          <w:sz w:val="22"/>
        </w:rPr>
        <w:t xml:space="preserve"> Katı bir İçerik Güvenlik Politikası (CSP) ve güvenlik başlıkları (X-Content-Type-Options, X-Frame-Options, Referrer-Policy) tanımlanmıştır.</w:t>
      </w:r>
    </w:p>
    <w:p>
      <w:pPr>
        <w:pStyle w:val="ListBullet"/>
      </w:pPr>
      <w:r>
        <w:rPr>
          <w:b/>
          <w:sz w:val="22"/>
        </w:rPr>
        <w:t xml:space="preserve">Veri minimizasyonu. </w:t>
      </w:r>
      <w:r>
        <w:rPr>
          <w:sz w:val="22"/>
        </w:rPr>
        <w:t xml:space="preserve"> İlerleme verisi yalnızca kullanıcının cihazında saklanır; merkezî bir veritabanı yoktur.</w:t>
      </w:r>
    </w:p>
    <w:p>
      <w:pPr>
        <w:pStyle w:val="Heading2"/>
      </w:pPr>
      <w:r>
        <w:rPr>
          <w:b w:val="0"/>
          <w:i w:val="0"/>
        </w:rPr>
        <w:t>5.9 Erişilebilirlik ve Yardımcı Teknoloji</w:t>
      </w:r>
    </w:p>
    <w:p>
      <w:r>
        <w:rPr>
          <w:b w:val="0"/>
          <w:i w:val="0"/>
        </w:rPr>
        <w:t>ViMove en baştan yaşlı ve engelli kullanıcılar düşünülerek tasarlanmıştır:</w:t>
      </w:r>
    </w:p>
    <w:p>
      <w:pPr>
        <w:pStyle w:val="ListBullet"/>
      </w:pPr>
      <w:r>
        <w:rPr>
          <w:b/>
          <w:sz w:val="22"/>
        </w:rPr>
        <w:t xml:space="preserve">Sesli yönlendirme. </w:t>
      </w:r>
      <w:r>
        <w:rPr>
          <w:sz w:val="22"/>
        </w:rPr>
        <w:t xml:space="preserve"> Web Speech API üzerinden, egzersiz adları, yönergeler ve tekrar sayıları sesli olarak okunur (Türkçe/İngilizce). Görme engelli kullanıcılar ekranı görmeden de seansı takip edebilir.</w:t>
      </w:r>
    </w:p>
    <w:p>
      <w:pPr>
        <w:pStyle w:val="ListBullet"/>
      </w:pPr>
      <w:r>
        <w:rPr>
          <w:b/>
          <w:sz w:val="22"/>
        </w:rPr>
        <w:t xml:space="preserve">Görsel erişilebilirlik. </w:t>
      </w:r>
      <w:r>
        <w:rPr>
          <w:sz w:val="22"/>
        </w:rPr>
        <w:t xml:space="preserve"> Büyük yazı tipi, yüksek kontrast ve geniş dokunma alanları titremesi olan ve düşük görüşlü kullanıcılar için uygundur.</w:t>
      </w:r>
    </w:p>
    <w:p>
      <w:pPr>
        <w:pStyle w:val="ListBullet"/>
      </w:pPr>
      <w:r>
        <w:rPr>
          <w:b/>
          <w:sz w:val="22"/>
        </w:rPr>
        <w:t xml:space="preserve">Çok dillilik. </w:t>
      </w:r>
      <w:r>
        <w:rPr>
          <w:sz w:val="22"/>
        </w:rPr>
        <w:t xml:space="preserve"> Arayüz Türkçe ve İngilizce arasında anında değişebilir; tarayıcı diline göre varsayılan seçilir.</w:t>
      </w:r>
    </w:p>
    <w:p>
      <w:r>
        <w:br w:type="page"/>
      </w:r>
    </w:p>
    <w:p>
      <w:pPr>
        <w:pStyle w:val="Heading1"/>
      </w:pPr>
      <w:r>
        <w:rPr>
          <w:b w:val="0"/>
          <w:i w:val="0"/>
        </w:rPr>
        <w:t>6. Klinik Temel ve Kanıt</w:t>
      </w:r>
    </w:p>
    <w:p>
      <w:r>
        <w:rPr>
          <w:b w:val="0"/>
          <w:i w:val="0"/>
        </w:rPr>
        <w:t>ViMove'daki egzersiz seçimleri ve başlangıç tekrar hedefleri 'havada' değil, yayımlanmış klinik kılavuzlara dayandırılmıştır. Her program için kaynaklar uygulama içinde de şeffaf biçimde gösterilir. Aşağıda programların klinik dayanakları özetlenmiştir.</w:t>
      </w:r>
    </w:p>
    <w:p>
      <w:pPr>
        <w:pStyle w:val="Heading3"/>
      </w:pPr>
      <w:r>
        <w:rPr>
          <w:b w:val="0"/>
          <w:i w:val="0"/>
        </w:rPr>
        <w:t>6.1 Parkinson Hastalığı</w:t>
      </w:r>
    </w:p>
    <w:p>
      <w:r>
        <w:rPr>
          <w:b w:val="0"/>
          <w:i w:val="0"/>
        </w:rPr>
        <w:t>Bradikinezi ve hipokineziyi karşılamak için büyük genlikli hareketler (LSVT BIG yaklaşımı), kuvvet, denge ve hipomimi için yüz mobilitesi. Kaynaklar: Parkinson's Foundation &amp; ACSM egzersiz önerileri (FITT-VP, 2022); LSVT-BIG genlik terapisi (BMC Neurology, 2020).</w:t>
      </w:r>
    </w:p>
    <w:p>
      <w:pPr>
        <w:pStyle w:val="Heading3"/>
      </w:pPr>
      <w:r>
        <w:rPr>
          <w:b w:val="0"/>
          <w:i w:val="0"/>
        </w:rPr>
        <w:t>6.2 İnme Sonrası Rehabilitasyon</w:t>
      </w:r>
    </w:p>
    <w:p>
      <w:r>
        <w:rPr>
          <w:b w:val="0"/>
          <w:i w:val="0"/>
        </w:rPr>
        <w:t>Nöroplastisiteyi tetikleyen yüksek tekrarlı, göreve özel pratik; üst ekstremite kavrama/uzanma, alt ekstremite otur-kalk ve yüz nöromusküler yeniden eğitimi. Kaynaklar: AHA/ASA İnme Rehabilitasyonu Kılavuzu; görsel geri bildirimli otur-kalk RKÇ (2021).</w:t>
      </w:r>
    </w:p>
    <w:p>
      <w:pPr>
        <w:pStyle w:val="Heading3"/>
      </w:pPr>
      <w:r>
        <w:rPr>
          <w:b w:val="0"/>
          <w:i w:val="0"/>
        </w:rPr>
        <w:t>6.3 Osteoartrit &amp; Eklem Mobilitesi</w:t>
      </w:r>
    </w:p>
    <w:p>
      <w:r>
        <w:rPr>
          <w:b w:val="0"/>
          <w:i w:val="0"/>
        </w:rPr>
        <w:t>Eklem hareket açıklığı/esneklik ve etkilenen eklemlerin düşük yüklü kuvvetlendirilmesi, ağrısız aralıkta. Kaynaklar: OARSI yönetim kılavuzları; 2019 ACR / Arthritis Foundation OA kılavuzu.</w:t>
      </w:r>
    </w:p>
    <w:p>
      <w:pPr>
        <w:pStyle w:val="Heading3"/>
      </w:pPr>
      <w:r>
        <w:rPr>
          <w:b w:val="0"/>
          <w:i w:val="0"/>
        </w:rPr>
        <w:t>6.4 Denge &amp; Düşme Önleme</w:t>
      </w:r>
    </w:p>
    <w:p>
      <w:r>
        <w:rPr>
          <w:b w:val="0"/>
          <w:i w:val="0"/>
        </w:rPr>
        <w:t>Alt ekstremite kuvvetlendirme (otur-kalk ile kuadriseps, kalça abduktörleri) — düşmeleri yaklaşık %35 azalttığı gösterilen Otago Egzersiz Programı'nın kuvvet çekirdeği. Kaynaklar: Otago Egzersiz Programı el kitabı (ACC); Otago sistematik derlemesi; WHO fiziksel aktivite kılavuzu.</w:t>
      </w:r>
    </w:p>
    <w:p>
      <w:pPr>
        <w:pStyle w:val="Heading3"/>
      </w:pPr>
      <w:r>
        <w:rPr>
          <w:b w:val="0"/>
          <w:i w:val="0"/>
        </w:rPr>
        <w:t>6.5 Genel Yaşlı Kondisyonu</w:t>
      </w:r>
    </w:p>
    <w:p>
      <w:r>
        <w:rPr>
          <w:b w:val="0"/>
          <w:i w:val="0"/>
        </w:rPr>
        <w:t>Tüm büyük kas gruplarını çalıştıran çok bileşenli aktivite — 65+ yetişkinler için WHO fiziksel aktivite önerisiyle uyumlu. Kaynak: WHO Fiziksel Aktivite ve Hareketsiz Davranış Kılavuzları (2020).</w:t>
      </w:r>
    </w:p>
    <w:p>
      <w:r>
        <w:br w:type="page"/>
      </w:r>
    </w:p>
    <w:p>
      <w:pPr>
        <w:pStyle w:val="Heading1"/>
      </w:pPr>
      <w:r>
        <w:rPr>
          <w:b w:val="0"/>
          <w:i w:val="0"/>
        </w:rPr>
        <w:t>7. Saha Testleri ve Değerlendirme</w:t>
      </w:r>
    </w:p>
    <w:p>
      <w:r>
        <w:rPr>
          <w:b w:val="0"/>
          <w:i w:val="0"/>
        </w:rPr>
        <w:t>Çözümün uygulanabilirliğini ve özgünlüğünü ölçmek için süreç boyunca öncesinde, sırasında ve sonrasında olmak üzere üç aşamalı bir değerlendirme yürütülmüştür.</w:t>
      </w:r>
    </w:p>
    <w:p>
      <w:pPr>
        <w:pStyle w:val="Heading2"/>
      </w:pPr>
      <w:r>
        <w:rPr>
          <w:b w:val="0"/>
          <w:i w:val="0"/>
        </w:rPr>
        <w:t>7.1 Öncesinde — Özgünlük ve İhtiyaç Analizi</w:t>
      </w:r>
    </w:p>
    <w:p>
      <w:r>
        <w:rPr>
          <w:b w:val="0"/>
          <w:i w:val="0"/>
        </w:rPr>
        <w:t>Geliştirmeye başlamadan önce mevcut çözümler (pahalı klinik seansları, kurulum gerektiren uygulamalar, geri bildirim vermeyen pasif video kütüphaneleri) incelenmiş ve ViMove'u ayıran değer netleştirilmiştir: tarayıcıda, kurulumsuz, görüntüyü cihazdan çıkarmadan çalışan ve tekrarı yapay zekâyla doğrulayıp sayan, görme engellilerin de kullanabildiği bir araç. Egzersiz seçimleri ve dozları, baştan itibaren yayımlanmış klinik kılavuzlara dayandırılmıştır.</w:t>
      </w:r>
    </w:p>
    <w:p>
      <w:pPr>
        <w:pStyle w:val="Heading2"/>
      </w:pPr>
      <w:r>
        <w:rPr>
          <w:b w:val="0"/>
          <w:i w:val="0"/>
        </w:rPr>
        <w:t>7.2 Sırasında — Teknik Doğrulama</w:t>
      </w:r>
    </w:p>
    <w:p>
      <w:r>
        <w:rPr>
          <w:b w:val="0"/>
          <w:i w:val="0"/>
        </w:rPr>
        <w:t>Geliştirme boyunca hareket takibi farklı cihaz (dizüstü, tablet, telefon), ışık ve oda koşullarında test edilmiştir. Bu testlerin sonucunda sayım hatalarını azaltmak için histerezis eşikleri, zamansal yumuşatma ve kullanıcının bedenine/odasına uyum sağlayan kalibrasyon adımı eklenmiş; sistemin kullanıcının boyundan ve kameraya uzaklığından bağımsız çalıştığı doğrulanmıştır.</w:t>
      </w:r>
    </w:p>
    <w:p>
      <w:pPr>
        <w:pStyle w:val="Heading2"/>
      </w:pPr>
      <w:r>
        <w:rPr>
          <w:b w:val="0"/>
          <w:i w:val="0"/>
        </w:rPr>
        <w:t>7.3 Sonrasında — Gerçek Dünyada Saha Testi ve Uzman Onayı</w:t>
      </w:r>
    </w:p>
    <w:p>
      <w:r>
        <w:rPr>
          <w:b w:val="0"/>
          <w:i w:val="0"/>
        </w:rPr>
        <w:t>Çözümün uygulanabilirliği ve etkisi, doğrudan hedef kitleyle ve alanın uzmanlarıyla sahada ölçülmüştür:</w:t>
      </w:r>
    </w:p>
    <w:p>
      <w:pPr>
        <w:pStyle w:val="ListBullet"/>
      </w:pPr>
      <w:r>
        <w:rPr>
          <w:b/>
          <w:sz w:val="22"/>
        </w:rPr>
        <w:t xml:space="preserve">+65 yaş bireylerle birebir test. </w:t>
      </w:r>
      <w:r>
        <w:rPr>
          <w:sz w:val="22"/>
        </w:rPr>
        <w:t xml:space="preserve"> ViMove, Akdeniz Üniversitesi Gerontoloji Fakültesi – Tazelenme Üniversitesi öğrencilerine, yani 65 yaş üstü bireylere uygulatılmıştır. Yalnızca bu fakültede 50 kişi ViMove ile egzersiz yapmış ve geri bildirim vermiştir; bu çalışma karşılığında fakülteden resmî bir sertifika ile belgelenilmiştir.</w:t>
      </w:r>
    </w:p>
    <w:p>
      <w:pPr>
        <w:pStyle w:val="ListBullet"/>
      </w:pPr>
      <w:r>
        <w:rPr>
          <w:b/>
          <w:sz w:val="22"/>
        </w:rPr>
        <w:t xml:space="preserve">Akademik referans. </w:t>
      </w:r>
      <w:r>
        <w:rPr>
          <w:sz w:val="22"/>
        </w:rPr>
        <w:t xml:space="preserve"> Akdeniz Üniversitesi Gerontoloji Fakültesi'nden bir profesör, proje için bir referans mektubu yazmış; çözümün bilimsel temeli ve yaşlı bireyler için uygulanabilirliği akademik olarak teyit edilmiştir.</w:t>
      </w:r>
    </w:p>
    <w:p>
      <w:pPr>
        <w:pStyle w:val="ListBullet"/>
      </w:pPr>
      <w:r>
        <w:rPr>
          <w:b/>
          <w:sz w:val="22"/>
        </w:rPr>
        <w:t xml:space="preserve">Uzman kuruluş onayı. </w:t>
      </w:r>
      <w:r>
        <w:rPr>
          <w:sz w:val="22"/>
        </w:rPr>
        <w:t xml:space="preserve"> Proje, Türkiye Parkinson Hastalığı Derneği'nin bölge yöneticilerine sunulmuş; hem yöneticilerin takdiri kazanılmış hem de bölgedeki Parkinson hastaları uygulamayı bizzat deneyerek çok beğenmiştir. Böylece çözümün en zorlu hedef kullanıcı grubunda bile benimsendiği görülmüştür.</w:t>
      </w:r>
    </w:p>
    <w:p>
      <w:pPr>
        <w:pStyle w:val="ListBullet"/>
      </w:pPr>
      <w:r>
        <w:rPr>
          <w:b/>
          <w:sz w:val="22"/>
        </w:rPr>
        <w:t xml:space="preserve">Sivil toplum &amp; topluma erişim. </w:t>
      </w:r>
      <w:r>
        <w:rPr>
          <w:sz w:val="22"/>
        </w:rPr>
        <w:t xml:space="preserve"> Proje, Antalya bölgesindeki yerel vakıf ve kuruluşlara — TEGV, LÖSEV ve AYÇOV — sunularak farklı topluluklarla paylaşılmış ve erişilebilirlik üzerine geri bildirim toplanmıştır.</w:t>
      </w:r>
    </w:p>
    <w:p>
      <w:pPr>
        <w:pStyle w:val="Heading2"/>
      </w:pPr>
      <w:r>
        <w:rPr>
          <w:b w:val="0"/>
          <w:i w:val="0"/>
        </w:rPr>
        <w:t>7.4 Değerlendirmelerin Somut Çıktıları</w:t>
      </w:r>
    </w:p>
    <w:p>
      <w:r>
        <w:rPr>
          <w:b w:val="0"/>
          <w:i w:val="0"/>
        </w:rPr>
        <w:t>Bu değerlendirmeler doğrudan ürünü şekillendirmiştir: kalibrasyon adımının ve yaşa göre tekrar uyarlamasının eklenmesi; yaşlı kullanıcı geri bildirimleriyle arayüzün büyük yazı, yüksek kontrast ve sesli yönlendirme yönünde güncellenmesi; ve hepsinden önemlisi, çözümün hem akademik (Gerontoloji Fakültesi sertifikası ve profesör referans mektubu) hem de uzman/klinik düzeyde (Türkiye Parkinson Hastalığı Derneği) gerçek hedef kullanıcılar üzerinde uygulanabilir ve özgün bulunması. Bu temasların tüm belgeleri (sertifika, referans mektubu ve sunum görüntüleri) mevcuttur.</w:t>
      </w:r>
    </w:p>
    <w:p>
      <w:r>
        <w:br w:type="page"/>
      </w:r>
    </w:p>
    <w:p>
      <w:pPr>
        <w:pStyle w:val="Heading1"/>
      </w:pPr>
      <w:r>
        <w:rPr>
          <w:b w:val="0"/>
          <w:i w:val="0"/>
        </w:rPr>
        <w:t>8. Etki ve Ölçeklenebilirlik</w:t>
      </w:r>
    </w:p>
    <w:p>
      <w:r>
        <w:rPr>
          <w:b w:val="0"/>
          <w:i w:val="0"/>
        </w:rPr>
        <w:t>ViMove'un potansiyel etkisi somut biçimde ifade edilebilir. Klinik seansının bilinen etkisini (örneğin Otago temelli kuvvet programının düşme riskini ~%35 azaltması) sıfır maliyetle, evden ve coğrafyadan bağımsız biçimde erişilebilir kılar. Tarayıcı tabanlı yapısı sayesinde ek altyapı maliyeti olmadan tek kullanıcıdan milyonlara ölçeklenebilir; görme engelliler dâhil geniş bir kitleye hitap eder.</w:t>
      </w:r>
    </w:p>
    <w:p>
      <w:r>
        <w:rPr>
          <w:b w:val="0"/>
          <w:i w:val="0"/>
        </w:rPr>
        <w:t>En büyük katkısı, tedaviye uyumu (adherence) artırma potansiyelidir: Egzersizleri evde, her gün, sayım ve form doğrulamasıyla yapılabilir kılarak — rehabilitasyonun bilinen etkisinin önündeki en büyük engeli doğrudan hedef alır.</w:t>
      </w:r>
    </w:p>
    <w:p>
      <w:pPr>
        <w:pStyle w:val="Heading2"/>
      </w:pPr>
      <w:r>
        <w:rPr>
          <w:b w:val="0"/>
          <w:i w:val="0"/>
        </w:rPr>
        <w:t>8.1 Sporun Demokratikleşmesi ve Sosyal Değişim</w:t>
      </w:r>
    </w:p>
    <w:p>
      <w:r>
        <w:rPr>
          <w:b w:val="0"/>
          <w:i w:val="0"/>
        </w:rPr>
        <w:t>ViMove'un yarattığı sosyal değişim, fiziksel aktiviteye ve spora erişimdeki eşitsizliği azaltmaktır. Sporun ve egzersizin faydaları — kuvvet, denge, bağımsızlık, ruhsal iyilik — genellikle genç, sağlıklı ve maddi imkânı olan bireylere ulaşır; oysa bu faydalara en çok ihtiyaç duyanlar yaşlılar ve kronik hastalardır. ViMove bu uçurumu, hareket-takip teknolojisini ücretsiz ve kurulumsuz biçimde sunarak kapatır: kamerası olan herkes, evinde, kendi seviyesine uyarlanmış bir egzersiz programına başlayabilir. Görme engelliler için sesli koçluk, titremesi olanlar için erişilebilir arayüz — yani kapsayıcı ve uyarlanmış spor. Bu, bireysel sağlıktan toplumsal faydaya uzanan bir değişimdir: daha az düşme, daha fazla bağımsızlık, sağlık sistemine daha az yük ve daha aktif bir yaşlı nüfus. Teknoloji burada bir araç, spor ise değişimin itici gücüdür.</w:t>
      </w:r>
    </w:p>
    <w:p>
      <w:pPr>
        <w:pStyle w:val="Heading1"/>
      </w:pPr>
      <w:r>
        <w:rPr>
          <w:b w:val="0"/>
          <w:i w:val="0"/>
        </w:rPr>
        <w:t>9. Sınırlılıklar ve Etik İlkeler</w:t>
      </w:r>
    </w:p>
    <w:p>
      <w:pPr>
        <w:pStyle w:val="ListBullet"/>
      </w:pPr>
      <w:r>
        <w:rPr>
          <w:b/>
          <w:sz w:val="22"/>
        </w:rPr>
        <w:t xml:space="preserve">Tıbbi sınır. </w:t>
      </w:r>
      <w:r>
        <w:rPr>
          <w:sz w:val="22"/>
        </w:rPr>
        <w:t xml:space="preserve"> ViMove tıbbi bir cihaz değildir; teşhis veya tedavi sağlamaz. Bir egzersiz programına başlamadan önce sağlık profesyoluna danışılması gerektiği uygulama içinde açıkça belirtilir.</w:t>
      </w:r>
    </w:p>
    <w:p>
      <w:pPr>
        <w:pStyle w:val="ListBullet"/>
      </w:pPr>
      <w:r>
        <w:rPr>
          <w:b/>
          <w:sz w:val="22"/>
        </w:rPr>
        <w:t xml:space="preserve">Ölçüm doğası. </w:t>
      </w:r>
      <w:r>
        <w:rPr>
          <w:sz w:val="22"/>
        </w:rPr>
        <w:t xml:space="preserve"> Kameraya dayalı genlik ölçümleri görelidir; mutlak klinik eklem açıları değildir ve en çok kişinin kendi geçmiş verisiyle kıyaslandığında anlamlıdır.</w:t>
      </w:r>
    </w:p>
    <w:p>
      <w:pPr>
        <w:pStyle w:val="ListBullet"/>
      </w:pPr>
      <w:r>
        <w:rPr>
          <w:b/>
          <w:sz w:val="22"/>
        </w:rPr>
        <w:t xml:space="preserve">Donanım/ortam koşulları. </w:t>
      </w:r>
      <w:r>
        <w:rPr>
          <w:sz w:val="22"/>
        </w:rPr>
        <w:t xml:space="preserve"> Sistem standart bir web kamerası ve yeterli aydınlatma gerektirir; çok düşük ışıkta veya kameranın hareketi göremediği açılarda performans düşebilir.</w:t>
      </w:r>
    </w:p>
    <w:p>
      <w:pPr>
        <w:pStyle w:val="ListBullet"/>
      </w:pPr>
      <w:r>
        <w:rPr>
          <w:b/>
          <w:sz w:val="22"/>
        </w:rPr>
        <w:t xml:space="preserve">Gizlilik önceliği. </w:t>
      </w:r>
      <w:r>
        <w:rPr>
          <w:sz w:val="22"/>
        </w:rPr>
        <w:t xml:space="preserve"> Tüm analiz cihazda kalır ve görüntü dışarı çıkmaz; bu, gizliliği tasarımın merkezine koyan bilinçli bir etik tercihtir.</w:t>
      </w:r>
    </w:p>
    <w:p>
      <w:pPr>
        <w:pStyle w:val="Heading1"/>
      </w:pPr>
      <w:r>
        <w:rPr>
          <w:b w:val="0"/>
          <w:i w:val="0"/>
        </w:rPr>
        <w:t>10. Gelecek Çalışmalar ve Yol Haritası</w:t>
      </w:r>
    </w:p>
    <w:p>
      <w:pPr>
        <w:pStyle w:val="ListBullet"/>
      </w:pPr>
      <w:r>
        <w:rPr>
          <w:b/>
          <w:sz w:val="22"/>
        </w:rPr>
        <w:t xml:space="preserve">Yeni durumlar. </w:t>
      </w:r>
      <w:r>
        <w:rPr>
          <w:sz w:val="22"/>
        </w:rPr>
        <w:t xml:space="preserve"> Boyun ve bel programı için yeni boyun-rotasyonu ve gövde-eğimi algılaması (geliştirme aşamasında).</w:t>
      </w:r>
    </w:p>
    <w:p>
      <w:pPr>
        <w:pStyle w:val="ListBullet"/>
      </w:pPr>
      <w:r>
        <w:rPr>
          <w:b/>
          <w:sz w:val="22"/>
        </w:rPr>
        <w:t xml:space="preserve">Genişletilmiş saha çalışması. </w:t>
      </w:r>
      <w:r>
        <w:rPr>
          <w:sz w:val="22"/>
        </w:rPr>
        <w:t xml:space="preserve"> Klinik ortaklarla daha geniş ölçekli, ölçülebilir kullanıcı çalışmaları.</w:t>
      </w:r>
    </w:p>
    <w:p>
      <w:pPr>
        <w:pStyle w:val="ListBullet"/>
      </w:pPr>
      <w:r>
        <w:rPr>
          <w:b/>
          <w:sz w:val="22"/>
        </w:rPr>
        <w:t xml:space="preserve">Klinisyen entegrasyonu. </w:t>
      </w:r>
      <w:r>
        <w:rPr>
          <w:sz w:val="22"/>
        </w:rPr>
        <w:t xml:space="preserve"> Fizyoterapistlerin uzaktan program atayıp ilerlemeyi izleyebileceği opsiyonel bir uzman paneli.</w:t>
      </w:r>
    </w:p>
    <w:p>
      <w:pPr>
        <w:pStyle w:val="ListBullet"/>
      </w:pPr>
      <w:r>
        <w:rPr>
          <w:b/>
          <w:sz w:val="22"/>
        </w:rPr>
        <w:t xml:space="preserve">Erişilebilirliğin derinleştirilmesi. </w:t>
      </w:r>
      <w:r>
        <w:rPr>
          <w:sz w:val="22"/>
        </w:rPr>
        <w:t xml:space="preserve"> Daha fazla dil desteği ve sesli arayüzün genişletilmesi.</w:t>
      </w:r>
    </w:p>
    <w:p>
      <w:pPr>
        <w:pStyle w:val="Heading1"/>
      </w:pPr>
      <w:r>
        <w:rPr>
          <w:b w:val="0"/>
          <w:i w:val="0"/>
        </w:rPr>
        <w:t>11. Sonuç</w:t>
      </w:r>
    </w:p>
    <w:p>
      <w:r>
        <w:rPr>
          <w:b w:val="0"/>
          <w:i w:val="0"/>
        </w:rPr>
        <w:t>ViMove, yapay zekâyı bir gösterişten çok bir köprü olarak kullanan, somut ve çalışan bir çözümdür: sıradan bir web kamerasını, ihtiyacı olan herkes için kişiye özel ve klinik temelli bir fizyoterapi asistanına dönüştürür. Tarayıcıda çalışan, kurulumsuz, ücretsiz ve gizliliği koruyan mimarisi; kanıta dayalı program tasarımı; ve gerçek hedef kullanıcılarla, akademik ve uzman kurumlarla doğrulanmış olması — projeyi yalnızca bir fikir değil, uygulanabilir bir ürün hâline getirmektedir. İki lise öğrencisinin sorduğu sade soru — 'bir web kamerasındaki yapay zekâ, birinin evde terapisine devam etmesine yardımcı olabilir mi?' — bugün çalışan bir yanıta kavuşmuştur. Sonuçta ViMove, sporu ve fiziksel aktiviteyi teknolojiyle herkesin erişimine açarak somut bir sosyal değişim hedefleyen bir spor ve hareket teknolojisidir.</w:t>
      </w:r>
    </w:p>
    <w:p>
      <w:pPr>
        <w:pBdr>
          <w:bottom w:val="single" w:sz="6" w:space="1" w:color="0D9488"/>
        </w:pBdr>
        <w:spacing w:after="80"/>
      </w:pPr>
    </w:p>
    <w:p>
      <w:pPr>
        <w:pStyle w:val="Heading1"/>
      </w:pPr>
      <w:r>
        <w:rPr>
          <w:b w:val="0"/>
          <w:i w:val="0"/>
        </w:rPr>
        <w:t>Kaynakça</w:t>
      </w:r>
    </w:p>
    <w:p>
      <w:pPr>
        <w:spacing w:after="60"/>
      </w:pPr>
      <w:r>
        <w:rPr>
          <w:b/>
          <w:color w:val="0D9488"/>
          <w:sz w:val="19"/>
        </w:rPr>
        <w:t xml:space="preserve">[1] </w:t>
      </w:r>
      <w:r>
        <w:rPr>
          <w:sz w:val="19"/>
        </w:rPr>
        <w:t>World Health Organization &amp; IHME. Global estimates of the need for rehabilitation. who.int</w:t>
      </w:r>
    </w:p>
    <w:p>
      <w:pPr>
        <w:spacing w:after="60"/>
      </w:pPr>
      <w:r>
        <w:rPr>
          <w:b/>
          <w:color w:val="0D9488"/>
          <w:sz w:val="19"/>
        </w:rPr>
        <w:t xml:space="preserve">[2] </w:t>
      </w:r>
      <w:r>
        <w:rPr>
          <w:sz w:val="19"/>
        </w:rPr>
        <w:t>WHO–World Bank. Billions left behind on the path to universal health coverage (2023). who.int</w:t>
      </w:r>
    </w:p>
    <w:p>
      <w:pPr>
        <w:spacing w:after="60"/>
      </w:pPr>
      <w:r>
        <w:rPr>
          <w:b/>
          <w:color w:val="0D9488"/>
          <w:sz w:val="19"/>
        </w:rPr>
        <w:t xml:space="preserve">[3] </w:t>
      </w:r>
      <w:r>
        <w:rPr>
          <w:sz w:val="19"/>
        </w:rPr>
        <w:t>Global Burden of Disease Study 2021 — Parkinson's disease epidemiology. PMC.</w:t>
      </w:r>
    </w:p>
    <w:p>
      <w:pPr>
        <w:spacing w:after="60"/>
      </w:pPr>
      <w:r>
        <w:rPr>
          <w:b/>
          <w:color w:val="0D9488"/>
          <w:sz w:val="19"/>
        </w:rPr>
        <w:t xml:space="preserve">[4] </w:t>
      </w:r>
      <w:r>
        <w:rPr>
          <w:sz w:val="19"/>
        </w:rPr>
        <w:t>BMJ Group. Cases of Parkinson's disease set to reach 25 million worldwide by 2050.</w:t>
      </w:r>
    </w:p>
    <w:p>
      <w:pPr>
        <w:spacing w:after="60"/>
      </w:pPr>
      <w:r>
        <w:rPr>
          <w:b/>
          <w:color w:val="0D9488"/>
          <w:sz w:val="19"/>
        </w:rPr>
        <w:t xml:space="preserve">[5] </w:t>
      </w:r>
      <w:r>
        <w:rPr>
          <w:sz w:val="19"/>
        </w:rPr>
        <w:t>Global Burden of Disease Study 2021 — Stroke burden projections to 2050. PMC.</w:t>
      </w:r>
    </w:p>
    <w:p>
      <w:pPr>
        <w:spacing w:after="60"/>
      </w:pPr>
      <w:r>
        <w:rPr>
          <w:b/>
          <w:color w:val="0D9488"/>
          <w:sz w:val="19"/>
        </w:rPr>
        <w:t xml:space="preserve">[6] </w:t>
      </w:r>
      <w:r>
        <w:rPr>
          <w:sz w:val="19"/>
        </w:rPr>
        <w:t>Otago Exercise Programme Manual (ACC New Zealand); Otago fall-prevention systematic review. PMC.</w:t>
      </w:r>
    </w:p>
    <w:p>
      <w:pPr>
        <w:spacing w:after="60"/>
      </w:pPr>
      <w:r>
        <w:rPr>
          <w:b/>
          <w:color w:val="0D9488"/>
          <w:sz w:val="19"/>
        </w:rPr>
        <w:t xml:space="preserve">[7] </w:t>
      </w:r>
      <w:r>
        <w:rPr>
          <w:sz w:val="19"/>
        </w:rPr>
        <w:t>Parkinson's Foundation &amp; ACSM — Exercise Guidelines (FITT-VP, 2022); LSVT-BIG (BMC Neurology, 2020).</w:t>
      </w:r>
    </w:p>
    <w:p>
      <w:pPr>
        <w:spacing w:after="60"/>
      </w:pPr>
      <w:r>
        <w:rPr>
          <w:b/>
          <w:color w:val="0D9488"/>
          <w:sz w:val="19"/>
        </w:rPr>
        <w:t xml:space="preserve">[8] </w:t>
      </w:r>
      <w:r>
        <w:rPr>
          <w:sz w:val="19"/>
        </w:rPr>
        <w:t>AHA/ASA — Adult Stroke Rehabilitation and Recovery Guideline; sit-to-stand RCT (2021).</w:t>
      </w:r>
    </w:p>
    <w:p>
      <w:pPr>
        <w:spacing w:after="60"/>
      </w:pPr>
      <w:r>
        <w:rPr>
          <w:b/>
          <w:color w:val="0D9488"/>
          <w:sz w:val="19"/>
        </w:rPr>
        <w:t xml:space="preserve">[9] </w:t>
      </w:r>
      <w:r>
        <w:rPr>
          <w:sz w:val="19"/>
        </w:rPr>
        <w:t>OARSI Osteoarthritis Management Guidelines; 2019 ACR / Arthritis Foundation OA Guideline.</w:t>
      </w:r>
    </w:p>
    <w:p>
      <w:pPr>
        <w:spacing w:after="60"/>
      </w:pPr>
      <w:r>
        <w:rPr>
          <w:b/>
          <w:color w:val="0D9488"/>
          <w:sz w:val="19"/>
        </w:rPr>
        <w:t xml:space="preserve">[10] </w:t>
      </w:r>
      <w:r>
        <w:rPr>
          <w:sz w:val="19"/>
        </w:rPr>
        <w:t>WHO Guidelines on Physical Activity and Sedentary Behaviour (2020).</w:t>
      </w:r>
    </w:p>
    <w:p>
      <w:pPr>
        <w:spacing w:after="60"/>
      </w:pPr>
      <w:r>
        <w:rPr>
          <w:b/>
          <w:color w:val="0D9488"/>
          <w:sz w:val="19"/>
        </w:rPr>
        <w:t xml:space="preserve">[11] </w:t>
      </w:r>
      <w:r>
        <w:rPr>
          <w:sz w:val="19"/>
        </w:rPr>
        <w:t>Google MediaPipe Tasks Vision — Hand, Face, Pose Landmarker dokümantasyonu.</w:t>
      </w:r>
    </w:p>
    <w:p/>
    <w:p>
      <w:pPr>
        <w:pBdr>
          <w:bottom w:val="single" w:sz="6" w:space="1" w:color="0D9488"/>
        </w:pBdr>
        <w:spacing w:after="80"/>
      </w:pPr>
    </w:p>
    <w:p>
      <w:pPr>
        <w:jc w:val="center"/>
      </w:pPr>
      <w:r>
        <w:rPr>
          <w:b w:val="0"/>
          <w:i/>
          <w:color w:val="555555"/>
          <w:sz w:val="19"/>
        </w:rPr>
        <w:t>ViMove · vimoveai.com · Erdem Ertan &amp; Oğuz Çetinkaya</w:t>
      </w:r>
    </w:p>
    <w:p>
      <w:pPr>
        <w:jc w:val="center"/>
      </w:pPr>
      <w:r>
        <w:rPr>
          <w:b w:val="0"/>
          <w:i/>
          <w:color w:val="555555"/>
          <w:sz w:val="19"/>
        </w:rPr>
        <w:t>Erişilebilir sağlık için, özenle geliştirildi. © 2026 ViMove.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D948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02A2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102A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ertan123456/vimov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