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2EF6E" w14:textId="77777777" w:rsidR="00EC3C1C" w:rsidRPr="0042027D" w:rsidRDefault="00000000" w:rsidP="0042027D">
      <w:pPr>
        <w:spacing w:line="360" w:lineRule="auto"/>
        <w:rPr>
          <w:rFonts w:ascii="Times New Roman" w:hAnsi="Times New Roman" w:cs="Times New Roman"/>
          <w:b/>
          <w:bCs/>
          <w:sz w:val="28"/>
          <w:szCs w:val="28"/>
        </w:rPr>
      </w:pPr>
      <w:r w:rsidRPr="0042027D">
        <w:rPr>
          <w:rFonts w:ascii="Times New Roman" w:hAnsi="Times New Roman" w:cs="Times New Roman"/>
          <w:b/>
          <w:bCs/>
          <w:sz w:val="24"/>
          <w:szCs w:val="24"/>
        </w:rPr>
        <w:t>3. Yöntem</w:t>
      </w:r>
    </w:p>
    <w:p w14:paraId="28E8256E"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t>3.1. Deneysel Ortam</w:t>
      </w:r>
    </w:p>
    <w:p w14:paraId="6CF0B7F6"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Bu çalışmada deneyler, Windows üzerinde WSL 2 ortamında çalışan k3d tabanlı bir Kubernetes kümesi üzerinde gerçekleştirilmiştir. Deneylerin yürütüldüğü ana makinede 13. nesil Intel Core i7-13620H işlemci bulunmaktadır. Bu işlemci 10 fiziksel çekirdek ve 16 mantıksal işlem birimine sahiptir. WSL 2 ortamında deneyler 16 mantıksal CPU erişimiyle yürütülmüştür. Ana makinede yaklaşık 32 GB fiziksel bellek bulunmaktadır. WSL 2 çalışma ortamına yaklaşık 15 GiB bellek ve 4 GiB swap alanı ayrılmıştır. Depolama birimi olarak yaklaşık 1 TB kapasiteli WD Blue SN5100 SSD kullanılmıştır.</w:t>
      </w:r>
    </w:p>
    <w:p w14:paraId="69CE51C0"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Deney ortamında WSL 2.6.3.0, Linux çekirdeği 6.6.87.2-1, Windows 10.0.26200.8655, Docker 29.1.3 ve k3d v5.8.3 kullanılmıştır. k3d tarafından sağlanan Kubernetes/k3s sürümü v1.31.5+k3s1dir. Kubernetes kümesi bir control-plane düğümü ve iki worker düğümünden oluşacak şekilde yapılandırılmıştır. Kümede k3d-thesis-cluster-server-0 control-plane rolünde, k3d-thesis-cluster-agent-0 ve k3d-thesis-cluster-agent-1 ise worker düğümleri olarak kullanılmıştır.</w:t>
      </w:r>
    </w:p>
    <w:p w14:paraId="2B23167B"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Küme oluşturulurken Grafana, uygulama servisi ve Prometheus için sırasıyla 3000:3000@loadbalancer, 3001:30081@loadbalancer ve 9090:9090@loadbalancer port eşlemeleri tanımlanmıştır. Bu yapılandırma sayesinde deneylerde ayrıca kubectl port-forward kullanılmamıştır. k6 yük testleri uygulamaya http://localhost:3001, Prometheus sorguları ise http://localhost:9090 adresleri üzerinden erişecek şekilde yürütülmüştür.</w:t>
      </w:r>
    </w:p>
    <w:p w14:paraId="7C223D74"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Deneylerde kullanılan uygulama, autoscale-test-service adlı FastAPI tabanlı bir mikroservistir. Uygulama Kubernetes üzerinde default namespace içinde Deployment olarak çalıştırılmıştır. Deployment başlangıçta tek replika ile başlatılmıştır. Container kaynak istekleri CPU için 100m, bellek için 128Mi; kaynak limitleri ise CPU için 500m, bellek için 512Mi olarak tanımlanmıştır. Servisin çalışma durumunu izlemek amacıyla /health endpoint’i üzerinden readiness ve liveness probe yapılandırılmıştır. Uygulama Kubernetes tarafında NodePort servis tipiyle 30081 portundan yayınlanmış, k3d port eşlemesi aracılığıyla host makinede 3001 portundan erişilebilir hale getirilmiştir.</w:t>
      </w:r>
    </w:p>
    <w:p w14:paraId="489C8400"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lastRenderedPageBreak/>
        <w:t>3.2. Metrik Toplama Altyapısı</w:t>
      </w:r>
    </w:p>
    <w:p w14:paraId="3780CD64"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Deneylerde metrik toplama ve gözlemleme amacıyla Prometheus tabanlı kube-prometheus-stack kullanılmıştır. Deney ortamında KEDA 2.19.0, kube-prometheus-stack chart 84.0.0 ve Prometheus Operator v0.90.1 sürümleri kullanılmıştır. Prometheus, Grafana, kube-state-metrics, node-exporter ve Prometheus Operator bileşenleri monitoring namespace altında çalıştırılmıştır. Python tabanlı veri işleme ve modelleme sürecinde Python 3.12.3, scikit-learn 1.4.1.post1, pandas 2.1.4+dfsg, NumPy 1.26.4, SciPy 1.11.4, joblib 1.3.2 ve requests 2.31.0 kullanılmıştır. Yük üretimi için k6 v1.7.1 tercih edilmiştir.</w:t>
      </w:r>
    </w:p>
    <w:p w14:paraId="6354438D"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Uygulama, Prometheus formatında metrik üretecek biçimde geliştirilmiştir. Toplanan temel uygulama metrikleri HTTP istek sayısı, istek gecikme histogramı, aktif istek sayısı ve sentetik CPU kullanım oranıdır. Kubernetes ve container düzeyinde ise pod sayısı, istenen replika sayısı ve CPU tüketimi izlenmiştir. Uygulama metriklerinin Prometheus tarafından düzenli biçimde toplanması için ServiceMonitor tanımı kullanılmış ve scrape aralığı 5 saniye olarak belirlenmiştir. Deney sonrasında Prometheus’ta biriken metrikler CSV formatına aktarılmış ve modelleme ile sonuç analizi süreçlerinde kullanılmıştır.</w:t>
      </w:r>
    </w:p>
    <w:p w14:paraId="32B06A57"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t>3.3. Karşılaştırılan Ölçeklendirme Yöntemleri</w:t>
      </w:r>
    </w:p>
    <w:p w14:paraId="34EC5795"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Çalışmada HPA, KEDA, MLP, Linear Regression ve SVR olmak üzere beş farklı ölçeklendirme yaklaşımı karşılaştırılmıştır. HPA yapılandırmasında hedef metrik olarak CPU kullanımı seçilmiş ve ortalama CPU kullanım hedefi %80 olarak belirlenmiştir. HPA minimum 1, maksimum 60 pod arasında çalışacak şekilde yapılandırılmıştır. Ölçek büyütme davranışında 15 saniyelik periyotta %100 artış veya 2 pod artış politikaları birlikte tanımlanmış, selectPolicy: Max ile daha yüksek artışa izin veren politika uygulanmıştır. Ölçek küçültme tarafında ise 60 saniyelik stabilizasyon penceresi ve 30 saniyelik periyotta 5%0 azaltma politikası kullanılmıştır.</w:t>
      </w:r>
    </w:p>
    <w:p w14:paraId="69E8D002"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 xml:space="preserve">KEDA yapılandırmasında Prometheus tabanlı tetikleyici kullanılmıştır. Tetikleyici metrik olarak http_requests_in_progress seçilmiş ve eşik değeri 1.5 olarak belirlenmiştir. KEDA için de minimum pod sayısı 1, maksimum pod sayısı 60 olarak </w:t>
      </w:r>
      <w:r w:rsidRPr="0042027D">
        <w:rPr>
          <w:rFonts w:ascii="Times New Roman" w:hAnsi="Times New Roman" w:cs="Times New Roman"/>
          <w:sz w:val="24"/>
          <w:szCs w:val="24"/>
        </w:rPr>
        <w:lastRenderedPageBreak/>
        <w:t>tanımlanmıştır. KEDA yapılandırmasında HPA ile karşılaştırılabilir ölçek büyütme ve ölçek küçültme politikaları korunmuştur. Böylece iki yaklaşım arasındaki karşılaştırma, temel olarak kullanılan karar metriği ve tetikleme mekanizması üzerinden yapılmıştır.</w:t>
      </w:r>
    </w:p>
    <w:p w14:paraId="2380D79C"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Makine öğrenmesi tabanlı ölçeklendirme yaklaşımında Multi-Layer Perceptron, Linear Regression ve Support Vector Regression olmak üzere üç regresyon modeli kullanılmıştır. Modeller; RPS, p95 gecikme, hata oranı, CPU tüketimi ve aktif istek sayısı metriklerinden yararlanarak ihtiyaç duyulan pod sayısını tahmin edecek şekilde eğitilmiştir. Canlı deneylerde model çıktıları yukarı yuvarlanarak tam pod sayısına dönüştürülmüş ve Kubernetes Deployment için tanımlanan 1-60 pod aralığında sınırlandırılmıştır. Canlı karar mekanizmasının ayrıntıları Bölüm 3.6’da açıklanmıştır.</w:t>
      </w:r>
    </w:p>
    <w:p w14:paraId="20DC5151"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t>3.4. Veri Setinin Oluşturulması</w:t>
      </w:r>
    </w:p>
    <w:p w14:paraId="3F285B81"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Model eğitiminde kullanılan veri seti, final karşılaştırma deneylerinden önce yürütülen HPA ve KEDA deneylerinden elde edilen Prometheus metrikleri kullanılarak oluşturulmuştur. HPA ve KEDA yük deneylerinden elde edilen 1, 2, 3 ve 4 numaralı deney setleri eğitim verisi olarak, 5 numaralı deney seti ise test verisi olarak ayrılmıştır. Böylece model, önceki deney setlerinden öğrenmiş; başarımı ise eğitimde kullanılmayan son deney seti üzerinde değerlendirilmiştir.</w:t>
      </w:r>
    </w:p>
    <w:p w14:paraId="0A4B3DDB"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Model giriş değişkenleri rps, p95_latency, error_rate, cpu_mcores ve in_progress_requests olarak belirlenmiştir. Hedef değişken required_pods kolonudur. Bu çalışmada required_pods, HPA ve KEDA deneylerinden türetilen hedef pod sayısı olarak ele alınmıştır. Yük bulunmayan dönemlerde modelin minimum pod sayısına dönebilmeyi öğrenebilmesi amacıyla idle satırlar da veri setine dahil edilmiştir. Bu satırlar için hedef pod sayısı 1 olarak atanmış, idle örneklerin veri seti üzerinde baskın hale gelmesini önlemek için maksimum idle oranı 0.25 ile sınırlandırılmıştır.</w:t>
      </w:r>
    </w:p>
    <w:p w14:paraId="0390B3CF"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t>3.5. Model Eğitimi</w:t>
      </w:r>
    </w:p>
    <w:p w14:paraId="614EB6FB"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 xml:space="preserve">Model eğitimi, önceden oluşturulan eğitim ve test veri kümeleri kullanılarak gerçekleştirilmiştir. Eğitim sürecinde giriş değişkenleri rps, p95_latency, error_rate, </w:t>
      </w:r>
      <w:r w:rsidRPr="0042027D">
        <w:rPr>
          <w:rFonts w:ascii="Times New Roman" w:hAnsi="Times New Roman" w:cs="Times New Roman"/>
          <w:sz w:val="24"/>
          <w:szCs w:val="24"/>
        </w:rPr>
        <w:lastRenderedPageBreak/>
        <w:t>cpu_mcores ve in_progress_requests; hedef değişken ise required_pods olarak tanımlanmıştır. Tahmin edilen pod sayısı 1 ile 60 aralığında sınırlandırılmıştır.</w:t>
      </w:r>
    </w:p>
    <w:p w14:paraId="23CEB086"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Tüm modeller scikit-learn Pipeline yapısı içinde StandardScaler ile birlikte eğitilmiştir. Böylece eğitimden önce giriş değişkenleri standartlaştırılmıştır. Linear Regression modeli için LinearRegression, SVR modeli için RBF çekirdekli SVR, MLP modeli için ise MLPRegressor kullanılmıştır. SVR modelinde kernel="rbf", C=10 ve epsilon=0.1 parametreleri tanımlanmıştır.</w:t>
      </w:r>
    </w:p>
    <w:p w14:paraId="4B56C963"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MLP modelinde iki gizli katman kullanılmış ve katman boyutları `(64, 32)` olarak belirlenmiştir. Aktivasyon fonksiyonu `relu`, optimizer `adam`, maksimum iterasyon sayısı `max_iter=1000`, `random_state=42`, `early_stopping=True` ve `n_iter_no_change=30` olarak yapılandırılmıştır. scikit-learn `MLPRegressor` için `max_iter`, `adam` ve `sgd` gibi stokastik çözücülerde verinin en fazla kaç epoch boyunca kullanılacağını ifade etmektedir. Bunun sonucunda bu çalışmada MLP modeli için maksimum iterasyon/epoch sayısı 1000 olarak kullanılmıştır.</w:t>
      </w:r>
    </w:p>
    <w:p w14:paraId="5B78CA75"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Batch size parametresi için scikit-learn varsayılanı olan `batch_size="auto"` kullanılmıştır. Bu ayarda mini-batch boyutu `min(200, n_samples)` olarak belirlenmektedir. Öğrenme oranı başlangıç değeri `learning_rate_init=0.001`, öğrenme oranı stratejisi `learning_rate="constant"`, L2 düzenlileştirme katsayısı `alpha=0.0001` ve erken durdurma doğrulama oranı `validation_fraction=0.1` olarak kullanılmıştır. Adam optimizer için `beta_1=0.9`, `beta_2=0.999` ve `epsilon=1e-8` değerleri kullanılmıştır.</w:t>
      </w:r>
    </w:p>
    <w:p w14:paraId="43FBCF22" w14:textId="77777777" w:rsidR="00EC3C1C"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Model başarımı MAE, RMSE, MSE, R², exact match rate, within-1-pod rate, under-prediction rate ve over-prediction rate metrikleriyle değerlendirilmiştir. Offline test sonuçlarında MLP modeli en düşük MAE ve RMSE değerlerini üretmiş ve en iyi model olarak kaydedilmiştir. Bununla birlikte Linear Regression ve SVR modelleri de ayrı model dosyaları olarak saklanmış ve 13 Haziran final karşılaştırma deneylerinde canlı autoscaling yöntemi olarak ayrıca test edilmiştir. Bu tercih, offline tahmin başarımı ile canlı Kubernetes ortamındaki ölçeklendirme başarımının ayrı ayrı değerlendirilmesini sağlamıştır.</w:t>
      </w:r>
    </w:p>
    <w:p w14:paraId="4B6B8537" w14:textId="77777777" w:rsidR="0042027D" w:rsidRPr="0042027D" w:rsidRDefault="0042027D" w:rsidP="0042027D">
      <w:pPr>
        <w:spacing w:line="360" w:lineRule="auto"/>
        <w:ind w:firstLine="720"/>
        <w:rPr>
          <w:rFonts w:ascii="Times New Roman" w:hAnsi="Times New Roman" w:cs="Times New Roman"/>
          <w:sz w:val="24"/>
          <w:szCs w:val="24"/>
        </w:rPr>
      </w:pPr>
    </w:p>
    <w:p w14:paraId="2E462305"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lastRenderedPageBreak/>
        <w:t>3.6. Canlı ML Tabanlı Ölçeklendirme</w:t>
      </w:r>
    </w:p>
    <w:p w14:paraId="53BA3E39"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Canlı makine öğrenmesi tabanlı ölçeklendirme, Prometheus’tan düzenli aralıklarla alınan metriklerin eğitilmiş modele girdi olarak verilmesiyle gerçekleştirilmiştir. Betik 5 saniyelik aralıklarla güncel metrikleri sorgulamış, model tarafından önerilen pod sayısını hesaplamış ve Kubernetes Deployment replika sayısını güncellemiştir. Canlı deneylerde minimum pod sayısı 1, maksimum pod sayısı 60 olarak belirlenmiştir. Scale-up cooldown süresi 15 saniye, scale-down cooldown süresi 60 saniye ve minimum değişim 1 pod olarak kullanılmıştır. Final deneylerde HPA benzeri oran sınırlama politikası ve idle guard mekanizması devre dışı bırakılarak doğrudan ML tahminine dayalı ölçeklendirme davranışı incelenmiştir.</w:t>
      </w:r>
    </w:p>
    <w:p w14:paraId="2AF1EE85" w14:textId="2F4ADA82"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 xml:space="preserve">Model çıktısı pod sayısına dönüştürülürken ceil yuvarlama yöntemi </w:t>
      </w:r>
      <w:r w:rsidR="00A82231">
        <w:rPr>
          <w:rFonts w:ascii="Times New Roman" w:hAnsi="Times New Roman" w:cs="Times New Roman"/>
          <w:sz w:val="24"/>
          <w:szCs w:val="24"/>
        </w:rPr>
        <w:t>tercih edilmiştir</w:t>
      </w:r>
      <w:r w:rsidRPr="0042027D">
        <w:rPr>
          <w:rFonts w:ascii="Times New Roman" w:hAnsi="Times New Roman" w:cs="Times New Roman"/>
          <w:sz w:val="24"/>
          <w:szCs w:val="24"/>
        </w:rPr>
        <w:t>. Bu yöntem, tahmin edilen kaynak ihtiyacının aşağı yuvarlanması nedeniyle oluşabilecek eksik ölçeklendirme riskini azaltmak amacıyla tercih edilmiştir. Ayrıca canlı ölçeklendirme sürecinde SLO ihlali sırasında ölçek küçültmeyi engelleyen bir güvenlik kontrolü uygulanmıştır. RPS değerinin 30’un üzerinde olduğu durumlarda agresif ölçek küçültme davranışı sınırlandırılmıştır.</w:t>
      </w:r>
    </w:p>
    <w:p w14:paraId="1E5827AE"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t>3.7. Yük Testi Senaryoları</w:t>
      </w:r>
    </w:p>
    <w:p w14:paraId="36F6FD00" w14:textId="16462863"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 xml:space="preserve">Yük testleri k6 ile step, spike ve </w:t>
      </w:r>
      <w:r w:rsidR="00484313">
        <w:rPr>
          <w:rFonts w:ascii="Times New Roman" w:hAnsi="Times New Roman" w:cs="Times New Roman"/>
          <w:sz w:val="24"/>
          <w:szCs w:val="24"/>
        </w:rPr>
        <w:t>p</w:t>
      </w:r>
      <w:r w:rsidRPr="0042027D">
        <w:rPr>
          <w:rFonts w:ascii="Times New Roman" w:hAnsi="Times New Roman" w:cs="Times New Roman"/>
          <w:sz w:val="24"/>
          <w:szCs w:val="24"/>
        </w:rPr>
        <w:t>oisson olmak üzere üç farklı senaryo altında gerçekleştirilmiştir. Tüm senaryolarda /light, /heavy ve /error uç noktaları kullanılmıştır. k6 betiklerinde endpoint dağılımı /light için 5%0, /heavy için %35 ve /error için %15 olacak şekilde tanımlanmıştır. /light profili düşük gecikme ve düşük CPU yükü, /heavy profili daha yüksek CPU ve gecikme, /error profili ise daha yüksek hata üretme olasılığı ile yapılandırılmıştır. Deneylerde DELAY_FACTOR=1.2, CPU_FACTOR=1.2 ve ERROR_FACTOR=1 değerleri kullanılmıştır.</w:t>
      </w:r>
    </w:p>
    <w:p w14:paraId="3C54CB15"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 xml:space="preserve">Step senaryosunda k6 ramping-vus executor kullanılmıştır. Bu senaryoda 50, 100, 200 ve 400 VU hedefleri test edilmiştir. Yük önce 1 dakika içinde 25 VU seviyesine çıkarılmıştır. Ardından hedef değere bağlı olarak 50, 100, 150, 200, 300 ve 400 VU basamakları uygulanmıştır. Her basamak 2 dakika sürmüş, hedef yük seviyesinde ayrıca 3 dakika beklenmiş ve deney sonunda yük 1 dakika içinde 0 VU seviyesine indirilmiştir. </w:t>
      </w:r>
      <w:r w:rsidRPr="0042027D">
        <w:rPr>
          <w:rFonts w:ascii="Times New Roman" w:hAnsi="Times New Roman" w:cs="Times New Roman"/>
          <w:sz w:val="24"/>
          <w:szCs w:val="24"/>
        </w:rPr>
        <w:lastRenderedPageBreak/>
        <w:t>Final karşılaştırmada 13 Haziran 2026 tarihinde alınan step sonuçları yöntem bazında gruplanmış; 50, 100, 200 ve 400 VU koşuları ilgili yöntemin step senaryosu performansını temsil edecek şekilde birlikte değerlendirilmiştir.</w:t>
      </w:r>
    </w:p>
    <w:p w14:paraId="1BFFB58E"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Spike senaryosunda k6 ramping-vus executor kullanılmıştır. Bu senaryoda başlangıç yükü 50 VU, ani yük seviyesi ise 400 VU olarak belirlenmiştir. Yük önce 1 dakika içinde 50 VU seviyesine çıkarılmış ve 2 dakika boyunca bu seviyede tutulmuştur. Daha sonra 15 saniye içinde 400 VU seviyesine çıkarılmış, 3 dakika boyunca zirve yük korunmuş, 30 saniye içinde tekrar 50 VU seviyesine düşürülmüş, 1 dakika boyunca 50 VU seviyesinde devam edilmiş ve son 30 saniyede yük 0 VU seviyesine indirilmiştir. Bu senaryo, yöntemlerin ani trafik artışlarına karşı ölçeklendirme tepkisini değerlendirmek amacıyla kullanılmıştır.</w:t>
      </w:r>
    </w:p>
    <w:p w14:paraId="3BE4C2A8"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Poisson senaryosunda k6 ramping-arrival-rate executor kullanılmıştır. Bu senaryoda sanal kullanıcı sayısı yerine hedef istek geliş oranı kontrol edilmiştir. Ortalama RPS değeri 110, toplam süre 18 dakika ve adım süresi 180 saniye olarak belirlenmiştir. preAllocatedVUs=300 ve maxVUs=700 değerleri kullanılmıştır. Poisson dağılımlı RPS değerleri deterministik seed kullanılarak üretilmiş, böylece senaryonun tekrar edilebilirliği sağlanmıştır.</w:t>
      </w:r>
    </w:p>
    <w:p w14:paraId="520C781A"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t>3.8. Deneylerin Yürütülmesi</w:t>
      </w:r>
    </w:p>
    <w:p w14:paraId="43686BD1" w14:textId="615E1FE6"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 xml:space="preserve">Final karşılaştırma deneyleri 13 Haziran 2026 tarihinde yürütülmüştür. Bu deneylerde HPA, KEDA, MLP, Linear Regression ve SVR yöntemleri step, spike ve </w:t>
      </w:r>
      <w:r w:rsidR="00484313">
        <w:rPr>
          <w:rFonts w:ascii="Times New Roman" w:hAnsi="Times New Roman" w:cs="Times New Roman"/>
          <w:sz w:val="24"/>
          <w:szCs w:val="24"/>
        </w:rPr>
        <w:t>p</w:t>
      </w:r>
      <w:r w:rsidRPr="0042027D">
        <w:rPr>
          <w:rFonts w:ascii="Times New Roman" w:hAnsi="Times New Roman" w:cs="Times New Roman"/>
          <w:sz w:val="24"/>
          <w:szCs w:val="24"/>
        </w:rPr>
        <w:t>oisson senaryoları altında karşılaştırılmıştır. Model eğitimi ise final karşılaştırma deneylerinden önce elde edilen HPA ve KEDA verileriyle gerçekleştirilmiştir. Bu tasarım sayesinde modeller geçmiş deney verileriyle eğitilmiş, final deneylerde ise canlı autoscaling yöntemi olarak değerlendirilmiştir.</w:t>
      </w:r>
    </w:p>
    <w:p w14:paraId="17FCF9C2"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 xml:space="preserve">Her deneyden önce sistem temiz başlangıç durumuna alınmıştır. Bu kapsamda mevcut autoscaler nesneleri kaldırılmış, uygulama 1 replika olacak şekilde ölçeklendirilmiş, Deployment yeniden başlatılmış ve /health endpoint’i üzerinden servis sağlığı kontrol edilmiştir. HPA ve KEDA deneylerinde ilgili autoscaler nesnesi uygulanmış, ardından k6 yük testi başlatılmıştır. ML deneylerinde ise HPA ve KEDA </w:t>
      </w:r>
      <w:r w:rsidRPr="0042027D">
        <w:rPr>
          <w:rFonts w:ascii="Times New Roman" w:hAnsi="Times New Roman" w:cs="Times New Roman"/>
          <w:sz w:val="24"/>
          <w:szCs w:val="24"/>
        </w:rPr>
        <w:lastRenderedPageBreak/>
        <w:t>devre dışı bırakılmış, ilgili model dosyası ile canlı ML autoscaler çalıştırılmış ve aynı yük senaryosu bu autoscaler aktifken uygulanmıştır. Her koşudan sonra sistemin tekrar 1 available replica seviyesine dönmesi beklenmiştir.</w:t>
      </w:r>
    </w:p>
    <w:p w14:paraId="5F06503B"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t>3.9. Değerlendirme Metrikleri</w:t>
      </w:r>
    </w:p>
    <w:p w14:paraId="1040CF96"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Deney sonuçları iki düzeyde değerlendirilmiştir. İlk düzeyde k6 summary dosyalarından p95 gecikme, ortalama gecikme, hata oranı, ortalama RPS ve toplam istek sayısı hesaplanmıştır. İkinci düzeyde Prometheus’tan dışa aktarılan metrikler kullanılarak SLO ihlal süresi, latency SLO ihlal süresi, error SLO ihlal süresi, ortalama pod sayısı, maksimum pod sayısı, ortalama CPU tüketimi ve maksimum CPU tüketimi hesaplanmıştır.</w:t>
      </w:r>
    </w:p>
    <w:p w14:paraId="21687367"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SLO ihlali iki koşula göre tanımlanmıştır: p95 gecikme süresinin 0.5 saniyeyi aşması veya hata oranının 0.05 değerinden büyük olması. Prometheus verileri 5 saniyelik örnekleme aralığıyla toplandığı için SLO ihlal süresi, ilgili ihlal koşulunun gerçekleştiği örneklerin toplam süreye dönüştürülmesiyle hesaplanmıştır. Bu değerlendirme yaklaşımı, yöntemlerin yalnızca ortalama performans değerleriyle değil, hizmet seviyesi ihlali, kaynak kullanımı ve ölçeklendirme davranışı açısından da karşılaştırılmasını sağlamıştır.</w:t>
      </w:r>
    </w:p>
    <w:p w14:paraId="3F1FFBF4"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t>Ek-A. Küme ve Servis Yapılandırması</w:t>
      </w:r>
    </w:p>
    <w:p w14:paraId="491188B2"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Kubernetes kümesi aşağıdaki port eşlemeleriyle oluşturulmuştur:</w:t>
      </w:r>
    </w:p>
    <w:p w14:paraId="40B5F253"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k3d cluster create thesis-cluster \</w:t>
      </w:r>
    </w:p>
    <w:p w14:paraId="1F1E35F1"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--agents 2 \</w:t>
      </w:r>
    </w:p>
    <w:p w14:paraId="65082595"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-p "3000:3000@loadbalancer" \</w:t>
      </w:r>
    </w:p>
    <w:p w14:paraId="0496A677"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-p "3001:30081@loadbalancer" \</w:t>
      </w:r>
    </w:p>
    <w:p w14:paraId="227CD4D6"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-p "9090:9090@loadbalancer"</w:t>
      </w:r>
    </w:p>
    <w:p w14:paraId="29FDD2A9" w14:textId="77777777" w:rsidR="00EC3C1C"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Uygulama servisi Kubernetes tarafında NodePort olarak yayınlanmış ve 30081 node portu üzerinden erişilebilir hale getirilmiştir. k3d port eşlemesi sayesinde bu servis host makinede http://localhost:3001 adresinden kullanılabilmiştir.</w:t>
      </w:r>
    </w:p>
    <w:p w14:paraId="4F79E26B" w14:textId="77777777" w:rsidR="0042027D" w:rsidRPr="0042027D" w:rsidRDefault="0042027D" w:rsidP="0042027D">
      <w:pPr>
        <w:spacing w:line="360" w:lineRule="auto"/>
        <w:ind w:firstLine="720"/>
        <w:rPr>
          <w:rFonts w:ascii="Times New Roman" w:hAnsi="Times New Roman" w:cs="Times New Roman"/>
          <w:sz w:val="24"/>
          <w:szCs w:val="24"/>
        </w:rPr>
      </w:pPr>
    </w:p>
    <w:p w14:paraId="09876AB9"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lastRenderedPageBreak/>
        <w:t>Ek-B. Veri Ön İşleme ve Model Eğitimi</w:t>
      </w:r>
    </w:p>
    <w:p w14:paraId="2B160011"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Model eğitiminde kullanılan veri seti, HPA ve KEDA deneylerinden elde edilen metriklerin ön işleme sürecinden geçirilmesiyle oluşturulmuştur. Eğitim ve test ayrımı set bazlı yapılmış, 5 numaralı set test verisi olarak ayrılmıştır.</w:t>
      </w:r>
    </w:p>
    <w:p w14:paraId="060D633F"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Model eğitimi için kullanılan komut aşağıdadır:</w:t>
      </w:r>
    </w:p>
    <w:p w14:paraId="4AA51DE9"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python3 scripts/train_model.py \</w:t>
      </w:r>
    </w:p>
    <w:p w14:paraId="3B794C0F"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--train results/metrics/ml_train_all.csv \</w:t>
      </w:r>
    </w:p>
    <w:p w14:paraId="3767C22D"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--test results/metrics/ml_test_all.csv \</w:t>
      </w:r>
    </w:p>
    <w:p w14:paraId="22911350"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--features rps,p95_latency,error_rate,cpu_mcores,in_progress_requests \</w:t>
      </w:r>
    </w:p>
    <w:p w14:paraId="329EAB2C"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--target-column required_pods \</w:t>
      </w:r>
    </w:p>
    <w:p w14:paraId="0C1978ED"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--model-output models/best_model.joblib \</w:t>
      </w:r>
    </w:p>
    <w:p w14:paraId="4840C994"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--results-output results/metrics/model_results.csv \</w:t>
      </w:r>
    </w:p>
    <w:p w14:paraId="7882166B"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--predictions-output results/metrics/model_predictions.csv \</w:t>
      </w:r>
    </w:p>
    <w:p w14:paraId="31A2F70A" w14:textId="77777777" w:rsidR="00EC3C1C" w:rsidRPr="0042027D"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--group-results-output results/metrics/model_group_results.csv \</w:t>
      </w:r>
    </w:p>
    <w:p w14:paraId="53EC1153" w14:textId="77777777" w:rsidR="00EC3C1C" w:rsidRDefault="00000000" w:rsidP="0042027D">
      <w:pPr>
        <w:spacing w:line="240" w:lineRule="auto"/>
        <w:rPr>
          <w:rFonts w:ascii="Times New Roman" w:hAnsi="Times New Roman" w:cs="Times New Roman"/>
          <w:i/>
          <w:iCs/>
          <w:sz w:val="24"/>
          <w:szCs w:val="24"/>
        </w:rPr>
      </w:pPr>
      <w:r w:rsidRPr="0042027D">
        <w:rPr>
          <w:rFonts w:ascii="Times New Roman" w:hAnsi="Times New Roman" w:cs="Times New Roman"/>
          <w:i/>
          <w:iCs/>
          <w:sz w:val="24"/>
          <w:szCs w:val="24"/>
        </w:rPr>
        <w:t>--max-pods 60</w:t>
      </w:r>
    </w:p>
    <w:p w14:paraId="3EA7A4D3" w14:textId="77777777" w:rsidR="0042027D" w:rsidRPr="0042027D" w:rsidRDefault="0042027D" w:rsidP="0042027D">
      <w:pPr>
        <w:spacing w:line="240" w:lineRule="auto"/>
        <w:rPr>
          <w:rFonts w:ascii="Times New Roman" w:hAnsi="Times New Roman" w:cs="Times New Roman"/>
          <w:i/>
          <w:iCs/>
          <w:sz w:val="24"/>
          <w:szCs w:val="24"/>
        </w:rPr>
      </w:pPr>
    </w:p>
    <w:p w14:paraId="22617D10" w14:textId="77777777" w:rsidR="00EC3C1C" w:rsidRPr="0042027D" w:rsidRDefault="00000000" w:rsidP="0042027D">
      <w:pPr>
        <w:spacing w:line="360" w:lineRule="auto"/>
        <w:rPr>
          <w:rFonts w:ascii="Times New Roman" w:hAnsi="Times New Roman" w:cs="Times New Roman"/>
          <w:b/>
          <w:bCs/>
          <w:sz w:val="24"/>
          <w:szCs w:val="24"/>
        </w:rPr>
      </w:pPr>
      <w:r w:rsidRPr="0042027D">
        <w:rPr>
          <w:rFonts w:ascii="Times New Roman" w:hAnsi="Times New Roman" w:cs="Times New Roman"/>
          <w:b/>
          <w:bCs/>
          <w:sz w:val="24"/>
          <w:szCs w:val="24"/>
        </w:rPr>
        <w:t>Ek-C. Sonuç Üretiminde Kullanılan Temel Çıktılar</w:t>
      </w:r>
    </w:p>
    <w:p w14:paraId="11079579" w14:textId="77777777" w:rsidR="00EC3C1C" w:rsidRPr="0042027D" w:rsidRDefault="00000000" w:rsidP="0042027D">
      <w:pPr>
        <w:spacing w:line="360" w:lineRule="auto"/>
        <w:ind w:firstLine="720"/>
        <w:rPr>
          <w:rFonts w:ascii="Times New Roman" w:hAnsi="Times New Roman" w:cs="Times New Roman"/>
          <w:sz w:val="24"/>
          <w:szCs w:val="24"/>
        </w:rPr>
      </w:pPr>
      <w:r w:rsidRPr="0042027D">
        <w:rPr>
          <w:rFonts w:ascii="Times New Roman" w:hAnsi="Times New Roman" w:cs="Times New Roman"/>
          <w:sz w:val="24"/>
          <w:szCs w:val="24"/>
        </w:rPr>
        <w:t>Deneysel sürecin tekrar üretilebilirliğini sağlamak amacıyla veri işleme, model eğitimi ve sonuç üretiminde kullanılan temel dosyalar aşağıda verilmiştir:</w:t>
      </w:r>
    </w:p>
    <w:p w14:paraId="6AFE0172" w14:textId="77777777" w:rsidR="00EC3C1C" w:rsidRPr="0042027D" w:rsidRDefault="00000000" w:rsidP="0042027D">
      <w:pPr>
        <w:spacing w:line="360" w:lineRule="auto"/>
        <w:rPr>
          <w:rFonts w:ascii="Times New Roman" w:hAnsi="Times New Roman" w:cs="Times New Roman"/>
          <w:sz w:val="24"/>
          <w:szCs w:val="24"/>
        </w:rPr>
      </w:pPr>
      <w:r w:rsidRPr="0042027D">
        <w:rPr>
          <w:rFonts w:ascii="Times New Roman" w:hAnsi="Times New Roman" w:cs="Times New Roman"/>
          <w:sz w:val="24"/>
          <w:szCs w:val="24"/>
        </w:rPr>
        <w:t>Ham metrik dosyası: results/metrics/metrics_all.csv</w:t>
      </w:r>
    </w:p>
    <w:p w14:paraId="2D8A5EFD" w14:textId="77777777" w:rsidR="00EC3C1C" w:rsidRPr="0042027D" w:rsidRDefault="00000000" w:rsidP="0042027D">
      <w:pPr>
        <w:spacing w:line="360" w:lineRule="auto"/>
        <w:rPr>
          <w:rFonts w:ascii="Times New Roman" w:hAnsi="Times New Roman" w:cs="Times New Roman"/>
          <w:sz w:val="24"/>
          <w:szCs w:val="24"/>
        </w:rPr>
      </w:pPr>
      <w:r w:rsidRPr="0042027D">
        <w:rPr>
          <w:rFonts w:ascii="Times New Roman" w:hAnsi="Times New Roman" w:cs="Times New Roman"/>
          <w:sz w:val="24"/>
          <w:szCs w:val="24"/>
        </w:rPr>
        <w:t>Eğitim veri kümesi: results/metrics/ml_train_all.csv</w:t>
      </w:r>
    </w:p>
    <w:p w14:paraId="306ACB08" w14:textId="77777777" w:rsidR="00EC3C1C" w:rsidRPr="0042027D" w:rsidRDefault="00000000" w:rsidP="0042027D">
      <w:pPr>
        <w:spacing w:line="360" w:lineRule="auto"/>
        <w:rPr>
          <w:rFonts w:ascii="Times New Roman" w:hAnsi="Times New Roman" w:cs="Times New Roman"/>
          <w:sz w:val="24"/>
          <w:szCs w:val="24"/>
        </w:rPr>
      </w:pPr>
      <w:r w:rsidRPr="0042027D">
        <w:rPr>
          <w:rFonts w:ascii="Times New Roman" w:hAnsi="Times New Roman" w:cs="Times New Roman"/>
          <w:sz w:val="24"/>
          <w:szCs w:val="24"/>
        </w:rPr>
        <w:t>Test veri kümesi: results/metrics/ml_test_all.csv</w:t>
      </w:r>
    </w:p>
    <w:p w14:paraId="0BFBB173" w14:textId="77777777" w:rsidR="00EC3C1C" w:rsidRPr="0042027D" w:rsidRDefault="00000000" w:rsidP="0042027D">
      <w:pPr>
        <w:spacing w:line="360" w:lineRule="auto"/>
        <w:rPr>
          <w:rFonts w:ascii="Times New Roman" w:hAnsi="Times New Roman" w:cs="Times New Roman"/>
          <w:sz w:val="24"/>
          <w:szCs w:val="24"/>
        </w:rPr>
      </w:pPr>
      <w:r w:rsidRPr="0042027D">
        <w:rPr>
          <w:rFonts w:ascii="Times New Roman" w:hAnsi="Times New Roman" w:cs="Times New Roman"/>
          <w:sz w:val="24"/>
          <w:szCs w:val="24"/>
        </w:rPr>
        <w:t>Model başarı sonuçları: results/metrics/model_results.csv</w:t>
      </w:r>
    </w:p>
    <w:p w14:paraId="51D33D74" w14:textId="77777777" w:rsidR="00EC3C1C" w:rsidRPr="0042027D" w:rsidRDefault="00000000" w:rsidP="0042027D">
      <w:pPr>
        <w:spacing w:line="360" w:lineRule="auto"/>
        <w:rPr>
          <w:rFonts w:ascii="Times New Roman" w:hAnsi="Times New Roman" w:cs="Times New Roman"/>
          <w:sz w:val="24"/>
          <w:szCs w:val="24"/>
        </w:rPr>
      </w:pPr>
      <w:r w:rsidRPr="0042027D">
        <w:rPr>
          <w:rFonts w:ascii="Times New Roman" w:hAnsi="Times New Roman" w:cs="Times New Roman"/>
          <w:sz w:val="24"/>
          <w:szCs w:val="24"/>
        </w:rPr>
        <w:t>Model tahmin çıktıları: results/metrics/model_predictions.csv</w:t>
      </w:r>
    </w:p>
    <w:p w14:paraId="2FE95938" w14:textId="77777777" w:rsidR="00EC3C1C" w:rsidRPr="0042027D" w:rsidRDefault="00000000" w:rsidP="0042027D">
      <w:pPr>
        <w:spacing w:line="360" w:lineRule="auto"/>
        <w:rPr>
          <w:rFonts w:ascii="Times New Roman" w:hAnsi="Times New Roman" w:cs="Times New Roman"/>
          <w:sz w:val="24"/>
          <w:szCs w:val="24"/>
        </w:rPr>
      </w:pPr>
      <w:r w:rsidRPr="0042027D">
        <w:rPr>
          <w:rFonts w:ascii="Times New Roman" w:hAnsi="Times New Roman" w:cs="Times New Roman"/>
          <w:sz w:val="24"/>
          <w:szCs w:val="24"/>
        </w:rPr>
        <w:t>k6 sonuç tablosu: results/metrics/thesis_k6_results_table.csv</w:t>
      </w:r>
    </w:p>
    <w:p w14:paraId="26107729" w14:textId="77777777" w:rsidR="00EC3C1C" w:rsidRPr="0042027D" w:rsidRDefault="00000000" w:rsidP="0042027D">
      <w:pPr>
        <w:spacing w:line="360" w:lineRule="auto"/>
        <w:rPr>
          <w:rFonts w:ascii="Times New Roman" w:hAnsi="Times New Roman" w:cs="Times New Roman"/>
          <w:sz w:val="24"/>
          <w:szCs w:val="24"/>
        </w:rPr>
      </w:pPr>
      <w:r w:rsidRPr="0042027D">
        <w:rPr>
          <w:rFonts w:ascii="Times New Roman" w:hAnsi="Times New Roman" w:cs="Times New Roman"/>
          <w:sz w:val="24"/>
          <w:szCs w:val="24"/>
        </w:rPr>
        <w:lastRenderedPageBreak/>
        <w:t>Autoscaling sonuç tablosu: results/metrics/thesis_autoscaling_results_table.csv</w:t>
      </w:r>
    </w:p>
    <w:p w14:paraId="60B8341D" w14:textId="77777777" w:rsidR="00EC3C1C" w:rsidRPr="0042027D" w:rsidRDefault="00000000" w:rsidP="0042027D">
      <w:pPr>
        <w:spacing w:line="360" w:lineRule="auto"/>
        <w:rPr>
          <w:rFonts w:ascii="Times New Roman" w:hAnsi="Times New Roman" w:cs="Times New Roman"/>
          <w:sz w:val="24"/>
          <w:szCs w:val="24"/>
        </w:rPr>
      </w:pPr>
      <w:r w:rsidRPr="0042027D">
        <w:rPr>
          <w:rFonts w:ascii="Times New Roman" w:hAnsi="Times New Roman" w:cs="Times New Roman"/>
          <w:sz w:val="24"/>
          <w:szCs w:val="24"/>
        </w:rPr>
        <w:t>Final deney metrikleri: results/metrics/metrics_20260613.csv</w:t>
      </w:r>
    </w:p>
    <w:sectPr w:rsidR="00EC3C1C" w:rsidRPr="0042027D" w:rsidSect="00DF05A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036273489">
    <w:abstractNumId w:val="8"/>
  </w:num>
  <w:num w:numId="2" w16cid:durableId="1685325232">
    <w:abstractNumId w:val="6"/>
  </w:num>
  <w:num w:numId="3" w16cid:durableId="970667286">
    <w:abstractNumId w:val="5"/>
  </w:num>
  <w:num w:numId="4" w16cid:durableId="1471628639">
    <w:abstractNumId w:val="4"/>
  </w:num>
  <w:num w:numId="5" w16cid:durableId="1459255372">
    <w:abstractNumId w:val="7"/>
  </w:num>
  <w:num w:numId="6" w16cid:durableId="941035732">
    <w:abstractNumId w:val="3"/>
  </w:num>
  <w:num w:numId="7" w16cid:durableId="1167135427">
    <w:abstractNumId w:val="2"/>
  </w:num>
  <w:num w:numId="8" w16cid:durableId="1572738865">
    <w:abstractNumId w:val="1"/>
  </w:num>
  <w:num w:numId="9" w16cid:durableId="677273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27D"/>
    <w:rsid w:val="00484313"/>
    <w:rsid w:val="00A82231"/>
    <w:rsid w:val="00AA1D8D"/>
    <w:rsid w:val="00B47730"/>
    <w:rsid w:val="00CB0664"/>
    <w:rsid w:val="00DF05A9"/>
    <w:rsid w:val="00EC3C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CA7AF"/>
  <w14:defaultImageDpi w14:val="300"/>
  <w15:docId w15:val="{A7159E37-C1E4-4E9D-8431-965B8745F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2396</Words>
  <Characters>13658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ertanc</cp:lastModifiedBy>
  <cp:revision>4</cp:revision>
  <dcterms:created xsi:type="dcterms:W3CDTF">2013-12-23T23:15:00Z</dcterms:created>
  <dcterms:modified xsi:type="dcterms:W3CDTF">2026-06-23T15:56:00Z</dcterms:modified>
  <cp:category/>
</cp:coreProperties>
</file>