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83875" w14:textId="77777777" w:rsidR="00FE38C0" w:rsidRDefault="00000000">
      <w:pPr>
        <w:pStyle w:val="KonuBal"/>
      </w:pPr>
      <w:r>
        <w:t>BOP MERKEZLİ AKADEMİK BİTİRME ARA TASLAĞI</w:t>
      </w:r>
    </w:p>
    <w:p w14:paraId="2BCA90FC" w14:textId="77777777" w:rsidR="00FE38C0" w:rsidRDefault="00000000">
      <w:pPr>
        <w:pStyle w:val="Altyaz"/>
        <w:spacing w:after="240"/>
      </w:pPr>
      <w:r>
        <w:t>Kurumsal Süreç Ağacı (BOP) Tabanlı MES, OEE, MOST ve Dijital İkiz Entegrasyonu</w:t>
      </w:r>
    </w:p>
    <w:p w14:paraId="1528DB08" w14:textId="77777777" w:rsidR="00FE38C0" w:rsidRDefault="00000000">
      <w:pPr>
        <w:pStyle w:val="Altyaz"/>
        <w:spacing w:after="240"/>
      </w:pPr>
      <w:r>
        <w:t xml:space="preserve">Ara </w:t>
      </w:r>
      <w:proofErr w:type="gramStart"/>
      <w:r>
        <w:t>Taslak -</w:t>
      </w:r>
      <w:proofErr w:type="gramEnd"/>
      <w:r>
        <w:t xml:space="preserve"> APA 7 Atıf Düzeni</w:t>
      </w:r>
    </w:p>
    <w:p w14:paraId="5B678052" w14:textId="77777777" w:rsidR="00FE38C0" w:rsidRDefault="00000000">
      <w:pPr>
        <w:spacing w:after="120"/>
        <w:jc w:val="center"/>
      </w:pPr>
      <w:r>
        <w:t>Ana proje kaynağı: BOP_Tarafi_Akademik_Bitirme_Metni.docx</w:t>
      </w:r>
    </w:p>
    <w:p w14:paraId="2CB2AF65" w14:textId="77777777" w:rsidR="00FE38C0" w:rsidRDefault="00000000">
      <w:pPr>
        <w:spacing w:after="120"/>
        <w:jc w:val="center"/>
      </w:pPr>
      <w:r>
        <w:t>Deneysel veri kaynağı: Entegre_BOP_MES_Konveyor_Calisma_Kitabi.xlsx</w:t>
      </w:r>
    </w:p>
    <w:p w14:paraId="5DFF74DB" w14:textId="77777777" w:rsidR="00FE38C0" w:rsidRDefault="00000000">
      <w:pPr>
        <w:spacing w:after="120"/>
        <w:jc w:val="center"/>
      </w:pPr>
      <w:r>
        <w:t>Hazırlayan: [Doldurulacak]</w:t>
      </w:r>
    </w:p>
    <w:p w14:paraId="2C32D41F" w14:textId="77777777" w:rsidR="00FE38C0" w:rsidRDefault="00000000">
      <w:pPr>
        <w:spacing w:after="120"/>
        <w:jc w:val="center"/>
      </w:pPr>
      <w:r>
        <w:t>Danışman: [Doldurulacak]</w:t>
      </w:r>
    </w:p>
    <w:p w14:paraId="35006594" w14:textId="77777777" w:rsidR="00FE38C0" w:rsidRDefault="00000000">
      <w:pPr>
        <w:spacing w:after="120"/>
        <w:jc w:val="center"/>
      </w:pPr>
      <w:r>
        <w:t>Tarih: 23 Nisan 2026</w:t>
      </w:r>
    </w:p>
    <w:p w14:paraId="6B45C112" w14:textId="77777777" w:rsidR="00FE38C0" w:rsidRDefault="00000000">
      <w:r>
        <w:br w:type="page"/>
      </w:r>
    </w:p>
    <w:p w14:paraId="6E0CB55D" w14:textId="77777777" w:rsidR="00FE38C0" w:rsidRDefault="00000000">
      <w:pPr>
        <w:pStyle w:val="Balk1"/>
        <w:spacing w:after="120"/>
      </w:pPr>
      <w:r>
        <w:lastRenderedPageBreak/>
        <w:t>Özet</w:t>
      </w:r>
    </w:p>
    <w:p w14:paraId="7896AB4A" w14:textId="02873FEC" w:rsidR="00FE38C0" w:rsidRDefault="00000000">
      <w:pPr>
        <w:pStyle w:val="GvdeMetni"/>
      </w:pPr>
      <w:r>
        <w:t xml:space="preserve">Bu </w:t>
      </w:r>
      <w:r w:rsidR="00FC031D">
        <w:t>proje</w:t>
      </w:r>
      <w:r>
        <w:t xml:space="preserve">, kurumsal süreç ağacı yaklaşımının yalnızca bir dokümantasyon aracı olarak değil, canlı üretim yürütme, performans izleme, kalite kontrol, standart zaman yönetimi ve dijital ikiz senaryo üretimi için merkezi veri omurgası olarak kullanılabileceğini göstermek üzere hazırlanmıştır. Çalışmanın temelinde, BOP tarafında geliştirilen rota, operasyon, istasyon, kalite kapısı ve zaman standardı bilgilerinin laboratuvar ölçekli konveyör-MES sistemiyle ilişkilendirilmesi yer almaktadır. Böylece BOP, ürünün nasıl üretileceğini tanımlayan statik bir tablo olmaktan çıkarılarak iş emri üretimi, saha verisinin yorumlanması, OEE değerlendirmesi, MOST girdisi ve </w:t>
      </w:r>
      <w:proofErr w:type="spellStart"/>
      <w:r>
        <w:t>FlexSim</w:t>
      </w:r>
      <w:proofErr w:type="spellEnd"/>
      <w:r>
        <w:t xml:space="preserve"> tabanlı dijital ikiz senaryosu için çalıştırılabilir bir referans model haline getirilmektedir.</w:t>
      </w:r>
    </w:p>
    <w:p w14:paraId="4736357C" w14:textId="2129A643" w:rsidR="00FE38C0" w:rsidRDefault="00FC031D">
      <w:pPr>
        <w:pStyle w:val="GvdeMetni"/>
      </w:pPr>
      <w:r>
        <w:t xml:space="preserve">Konveyör hattındaki </w:t>
      </w:r>
      <w:r w:rsidR="00000000">
        <w:t xml:space="preserve">proje verileri bu yaklaşımın deneysel dayanağını oluşturmaktadır. Entegre veri setinde 24 tamamlanan ürün, 7 inceleme gerektiren ürün, 0 kayıtlı arıza, 23367.67 </w:t>
      </w:r>
      <w:proofErr w:type="spellStart"/>
      <w:r w:rsidR="00000000">
        <w:t>ms</w:t>
      </w:r>
      <w:proofErr w:type="spellEnd"/>
      <w:r w:rsidR="00000000">
        <w:t xml:space="preserve"> ortalama akış süresi, son </w:t>
      </w:r>
      <w:proofErr w:type="spellStart"/>
      <w:r w:rsidR="00000000">
        <w:t>snapshot</w:t>
      </w:r>
      <w:proofErr w:type="spellEnd"/>
      <w:r w:rsidR="00000000">
        <w:t xml:space="preserve"> için </w:t>
      </w:r>
      <w:proofErr w:type="gramStart"/>
      <w:r w:rsidR="00000000">
        <w:t>%66.7</w:t>
      </w:r>
      <w:proofErr w:type="gramEnd"/>
      <w:r w:rsidR="00000000">
        <w:t xml:space="preserve"> OEE, %100 kullanılabilirlik ve %100 performans değeri raporlanmıştır. BOP tarafındaki referans çevrim süresi 1052 saniye, toplam hazırlık süresi ise 2700 saniye olarak modellenmiştir. Bu değerler, çalışmanın yalnızca kavramsal bir öneri olmadığını; canlı sistemden elde edilen ölçümlerle ilişkilendirilebilen bir BOP-MES entegrasyon tasarımı sunduğunu göstermektedir.</w:t>
      </w:r>
    </w:p>
    <w:p w14:paraId="05AEBCC7" w14:textId="77777777" w:rsidR="00FE38C0" w:rsidRDefault="00000000">
      <w:pPr>
        <w:pStyle w:val="GvdeMetni"/>
      </w:pPr>
      <w:r>
        <w:t xml:space="preserve">Akademik çerçevede çalışma; Endüstri 4.0, siber-fiziksel sistemler, dijital ikiz, ISA-95/MES, BOP/MBOM, OEE ve MOST literatürleriyle ilişkilendirilmektedir. Hermann, </w:t>
      </w:r>
      <w:proofErr w:type="spellStart"/>
      <w:r>
        <w:t>Pentek</w:t>
      </w:r>
      <w:proofErr w:type="spellEnd"/>
      <w:r>
        <w:t xml:space="preserve"> ve </w:t>
      </w:r>
      <w:proofErr w:type="spellStart"/>
      <w:r>
        <w:t>Otto</w:t>
      </w:r>
      <w:proofErr w:type="spellEnd"/>
      <w:r>
        <w:t xml:space="preserve"> (2016) Endüstri 4.0 senaryolarında birlikte çalışabilirlik, gerçek zamanlı veri ve hizmet yönelimli mimari ilkelerini vurgularken; </w:t>
      </w:r>
      <w:proofErr w:type="spellStart"/>
      <w:r>
        <w:t>Kritzinger</w:t>
      </w:r>
      <w:proofErr w:type="spellEnd"/>
      <w:r>
        <w:t xml:space="preserve">, </w:t>
      </w:r>
      <w:proofErr w:type="spellStart"/>
      <w:r>
        <w:t>Karner</w:t>
      </w:r>
      <w:proofErr w:type="spellEnd"/>
      <w:r>
        <w:t xml:space="preserve">, </w:t>
      </w:r>
      <w:proofErr w:type="spellStart"/>
      <w:r>
        <w:t>Traar</w:t>
      </w:r>
      <w:proofErr w:type="spellEnd"/>
      <w:r>
        <w:t xml:space="preserve">, </w:t>
      </w:r>
      <w:proofErr w:type="spellStart"/>
      <w:r>
        <w:t>Henjes</w:t>
      </w:r>
      <w:proofErr w:type="spellEnd"/>
      <w:r>
        <w:t xml:space="preserve"> ve </w:t>
      </w:r>
      <w:proofErr w:type="spellStart"/>
      <w:r>
        <w:t>Sihn</w:t>
      </w:r>
      <w:proofErr w:type="spellEnd"/>
      <w:r>
        <w:t xml:space="preserve"> (2018) dijital model, dijital gölge ve dijital ikiz ayrımını üretim sistemleri açısından açıklamaktadır. Bu tez taslağı, bu literatür temellerini düşük maliyetli ve eğitim laboratuvarında uygulanabilir bir mimariyle birleştirmeyi hedeflemektedir.</w:t>
      </w:r>
    </w:p>
    <w:p w14:paraId="1B8CD2E5" w14:textId="77777777" w:rsidR="00FE38C0" w:rsidRDefault="00000000">
      <w:pPr>
        <w:pStyle w:val="Balk2"/>
      </w:pPr>
      <w:r>
        <w:t>Anahtar Kelimeler</w:t>
      </w:r>
    </w:p>
    <w:p w14:paraId="0483624D" w14:textId="77777777" w:rsidR="00FE38C0" w:rsidRDefault="00000000">
      <w:pPr>
        <w:pStyle w:val="GvdeMetni"/>
      </w:pPr>
      <w:r>
        <w:t xml:space="preserve">Bill of </w:t>
      </w:r>
      <w:proofErr w:type="spellStart"/>
      <w:r>
        <w:t>Process</w:t>
      </w:r>
      <w:proofErr w:type="spellEnd"/>
      <w:r>
        <w:t xml:space="preserve"> (BOP), MES, OEE, MOST, dijital ikiz, Endüstri 4.0, siber-fiziksel sistem, konveyör hattı, üretim izlenebilirliği, kalite kapısı.</w:t>
      </w:r>
    </w:p>
    <w:p w14:paraId="3F5EE5E9" w14:textId="77777777" w:rsidR="00FE38C0" w:rsidRDefault="00000000">
      <w:r>
        <w:br w:type="page"/>
      </w:r>
    </w:p>
    <w:p w14:paraId="36A6EF7D" w14:textId="77777777" w:rsidR="00FE38C0" w:rsidRDefault="00000000">
      <w:pPr>
        <w:pStyle w:val="Balk1"/>
        <w:spacing w:after="120"/>
      </w:pPr>
      <w:r>
        <w:lastRenderedPageBreak/>
        <w:t>1. Problemin Tanımı</w:t>
      </w:r>
    </w:p>
    <w:p w14:paraId="3D3E7211" w14:textId="77777777" w:rsidR="00FE38C0" w:rsidRDefault="00000000">
      <w:pPr>
        <w:pStyle w:val="GvdeMetni"/>
      </w:pPr>
      <w:r>
        <w:t>Endüstri 4.0 dönüşümü, üretim sistemlerinde fiziksel ekipman, tasarım verisi, operasyon planı ve saha verisinin aynı karar zinciri içinde ele alınmasını gerektirmektedir. Bu dönüşümün temelinde yalnızca sensör kullanımı veya otomasyon seviyesi değil; üretim bilgisinin uçtan uca izlenebilir, güncellenebilir ve farklı yazılım katmanları arasında anlamını kaybetmeden taşınabilir olması yer almaktadır. Hermann vd. (2016), Endüstri 4.0 senaryolarında birlikte çalışabilirlik, gerçek zamanlı yetkinlik ve modülerliği temel tasarım ilkeleri olarak ele alır. Bu çerçevede BOP, MES, OEE, MOST ve dijital ikiz gibi araçların ayrı ayrı başarılı olması yeterli değildir; asıl problem, bu araçların aynı veri omurgasında birbirini besleyebilmesidir.</w:t>
      </w:r>
    </w:p>
    <w:p w14:paraId="1FAABFFC" w14:textId="77777777" w:rsidR="00FE38C0" w:rsidRDefault="00000000">
      <w:pPr>
        <w:pStyle w:val="GvdeMetni"/>
      </w:pPr>
      <w:r>
        <w:t xml:space="preserve">Geleneksel üretim ortamlarında BOP çoğu zaman ürünün nasıl üretileceğini gösteren rota ve operasyon dokümanı olarak kalmaktadır. Ancak sahada gerçekleşen üretim olayları, kalite kararları, operatör veya istasyon performansı, arıza/duruş kayıtları ve simülasyon parametreleri bu dokümanla doğrudan ilişkilendirilmediğinde, </w:t>
      </w:r>
      <w:proofErr w:type="spellStart"/>
      <w:r>
        <w:t>BOP’un</w:t>
      </w:r>
      <w:proofErr w:type="spellEnd"/>
      <w:r>
        <w:t xml:space="preserve"> kurumsal değeri sınırlı kalmaktadır. Siemens </w:t>
      </w:r>
      <w:proofErr w:type="spellStart"/>
      <w:r>
        <w:t>Digital</w:t>
      </w:r>
      <w:proofErr w:type="spellEnd"/>
      <w:r>
        <w:t xml:space="preserve"> </w:t>
      </w:r>
      <w:proofErr w:type="spellStart"/>
      <w:r>
        <w:t>Industries</w:t>
      </w:r>
      <w:proofErr w:type="spellEnd"/>
      <w:r>
        <w:t xml:space="preserve"> Software (</w:t>
      </w:r>
      <w:proofErr w:type="spellStart"/>
      <w:r>
        <w:t>n.d</w:t>
      </w:r>
      <w:proofErr w:type="spellEnd"/>
      <w:r>
        <w:t xml:space="preserve">.), </w:t>
      </w:r>
      <w:proofErr w:type="spellStart"/>
      <w:r>
        <w:t>BOP’un</w:t>
      </w:r>
      <w:proofErr w:type="spellEnd"/>
      <w:r>
        <w:t xml:space="preserve"> üretim hattı konfigürasyonlarını, araçları, makineleri, ekipmanı ve elektronik iş talimatlarını içeren planlı üretim yaklaşımını temsil ettiğini belirtir. Bu tanım, </w:t>
      </w:r>
      <w:proofErr w:type="spellStart"/>
      <w:r>
        <w:t>BOP’un</w:t>
      </w:r>
      <w:proofErr w:type="spellEnd"/>
      <w:r>
        <w:t xml:space="preserve"> yalnızca bir liste değil, üretimin nasıl yapılacağını açıklayan merkezi süreç bilgisi olduğunu göstermektedir.</w:t>
      </w:r>
    </w:p>
    <w:p w14:paraId="7493D6CC" w14:textId="77777777" w:rsidR="00FE38C0" w:rsidRDefault="00000000">
      <w:pPr>
        <w:pStyle w:val="GvdeMetni"/>
      </w:pPr>
      <w:r>
        <w:t>KOBİ ölçeğindeki işletmeler ve üniversite laboratuvarları için bu problem daha belirgin hale gelmektedir. PLM, ERP, MOM/MES ve gelişmiş simülasyon çözümleri büyük işletmelerde bütünleşik şekilde kullanılabilirken, küçük ölçekli ortamlarda yüksek lisans maliyetleri, uzmanlık gereksinimi ve kurulum karmaşıklığı nedeniyle benzer bir dijital süreklilik kurulması zorlaşmaktadır. Bu nedenle düşük maliyetli, elektronik tablo tabanlı ve açık biçimde doğrulanabilir bir BOP veri mimarisinin geliştirilmesi, yalnızca teknik bir kolaylık değil; erişilebilir dijital dönüşüm açısından akademik ve endüstriyel bir ihtiyaçtır.</w:t>
      </w:r>
    </w:p>
    <w:p w14:paraId="66A44F69" w14:textId="77777777" w:rsidR="00FE38C0" w:rsidRDefault="00000000">
      <w:pPr>
        <w:pStyle w:val="GvdeMetni"/>
      </w:pPr>
      <w:r>
        <w:t xml:space="preserve">Mevcut konveyör prototipi bu problemi somutlaştırmak için uygun bir deney ortamı sunmaktadır. Sistem renk algılama, ürün kuyruğa alma, robot kol ile alma-bırakma, tamamlanan ürün kaydı, kalite inceleme işareti, iş emri eşleştirmesi, OEE </w:t>
      </w:r>
      <w:proofErr w:type="spellStart"/>
      <w:r>
        <w:t>snapshot</w:t>
      </w:r>
      <w:proofErr w:type="spellEnd"/>
      <w:r>
        <w:t xml:space="preserve"> üretimi ve dijital ikiz senaryo kodları gibi temel üretim fonksiyonlarını içermektedir. Buna rağmen bu fonksiyonlar BOP tarafındaki rota, operasyon, kalite kapısı ve zaman standardı bilgileriyle ilişkilendirilmediği takdirde sistem yalnızca çalışan bir otomasyon demosu olarak kalır.</w:t>
      </w:r>
    </w:p>
    <w:p w14:paraId="4887605C" w14:textId="77777777" w:rsidR="00FE38C0" w:rsidRDefault="00000000">
      <w:pPr>
        <w:pStyle w:val="GvdeMetni"/>
      </w:pPr>
      <w:r>
        <w:lastRenderedPageBreak/>
        <w:t xml:space="preserve">OEE açısından bakıldığında da benzer bir kopukluk görülür. Ng </w:t>
      </w:r>
      <w:proofErr w:type="spellStart"/>
      <w:r>
        <w:t>Corrales</w:t>
      </w:r>
      <w:proofErr w:type="spellEnd"/>
      <w:r>
        <w:t xml:space="preserve">, </w:t>
      </w:r>
      <w:proofErr w:type="spellStart"/>
      <w:r>
        <w:t>Lambán</w:t>
      </w:r>
      <w:proofErr w:type="spellEnd"/>
      <w:r>
        <w:t xml:space="preserve">, </w:t>
      </w:r>
      <w:proofErr w:type="spellStart"/>
      <w:r>
        <w:t>Hernandez</w:t>
      </w:r>
      <w:proofErr w:type="spellEnd"/>
      <w:r>
        <w:t xml:space="preserve"> Korner ve </w:t>
      </w:r>
      <w:proofErr w:type="spellStart"/>
      <w:r>
        <w:t>Royo</w:t>
      </w:r>
      <w:proofErr w:type="spellEnd"/>
      <w:r>
        <w:t xml:space="preserve"> (2020), </w:t>
      </w:r>
      <w:proofErr w:type="spellStart"/>
      <w:r>
        <w:t>OEE’nin</w:t>
      </w:r>
      <w:proofErr w:type="spellEnd"/>
      <w:r>
        <w:t xml:space="preserve"> kullanılabilirlik, performans ve kalite bileşenleri üzerinden üretim etkinliğini ölçen temel bir KPI olduğunu ve dijitalleşmeyle birlikte karar destek aracı olarak önem kazandığını belirtir. Ancak OEE değerleri BOP tarafındaki standart zamanlara, kritik operasyonlara ve kalite kapılarına bağlanmadığında yalnızca sonuç göstergesi olarak kalır.</w:t>
      </w:r>
    </w:p>
    <w:p w14:paraId="0C8894DF" w14:textId="77777777" w:rsidR="00FE38C0" w:rsidRDefault="00000000">
      <w:pPr>
        <w:pStyle w:val="Balk1"/>
        <w:spacing w:after="120"/>
      </w:pPr>
      <w:r>
        <w:t>2. Problemin Amacı</w:t>
      </w:r>
    </w:p>
    <w:p w14:paraId="6EC3F49E" w14:textId="77777777" w:rsidR="00FE38C0" w:rsidRDefault="00000000">
      <w:pPr>
        <w:pStyle w:val="GvdeMetni"/>
      </w:pPr>
      <w:r>
        <w:t xml:space="preserve">Bu çalışmanın genel amacı, düşük maliyetli ve modüler bir BOP-MES mimarisinin laboratuvar ölçekli canlı konveyör sistemi üzerinde uygulanabilir olduğunu göstermek ve bu mimariyi OEE, MOST ve dijital ikiz katmanlarıyla akademik olarak temellendirmektir. Çalışma, </w:t>
      </w:r>
      <w:proofErr w:type="spellStart"/>
      <w:r>
        <w:t>BOP’u</w:t>
      </w:r>
      <w:proofErr w:type="spellEnd"/>
      <w:r>
        <w:t xml:space="preserve"> yalnızca rota ve operasyon listesi olarak değil; iş emri türetimi, kalite planı, standart zaman referansı, MES izlenebilirliği ve dijital ikiz senaryosu üreten bütünleşik bir veri modeli olarak ele almaktadır.</w:t>
      </w:r>
    </w:p>
    <w:p w14:paraId="6E8C47C8" w14:textId="77777777" w:rsidR="00FE38C0" w:rsidRDefault="00000000">
      <w:pPr>
        <w:pStyle w:val="GvdeMetni"/>
      </w:pPr>
      <w:r>
        <w:t xml:space="preserve">Özel amaçlardan ilki, BOP </w:t>
      </w:r>
      <w:proofErr w:type="spellStart"/>
      <w:r>
        <w:t>workbook</w:t>
      </w:r>
      <w:proofErr w:type="spellEnd"/>
      <w:r>
        <w:t xml:space="preserve"> yapısında tanımlanan </w:t>
      </w:r>
      <w:proofErr w:type="spellStart"/>
      <w:r>
        <w:t>BOP_Master</w:t>
      </w:r>
      <w:proofErr w:type="spellEnd"/>
      <w:r>
        <w:t xml:space="preserve">, ürün/kalem bilgisi, rota-operasyon akışı, istasyon-kaynak atamaları, operasyon zaman standartları, kalite kontrol noktaları, varyant kuralları ve entegrasyon eşleştirmelerinin canlı MES tarafında anlamlı çıktılar üretebildiğini göstermektir. ISA-95 standardının işletme sistemi ile kontrol sistemi arasında kavramsal sınırları ve veri alışverişini tanımlaması (International </w:t>
      </w:r>
      <w:proofErr w:type="spellStart"/>
      <w:r>
        <w:t>Society</w:t>
      </w:r>
      <w:proofErr w:type="spellEnd"/>
      <w:r>
        <w:t xml:space="preserve"> of </w:t>
      </w:r>
      <w:proofErr w:type="spellStart"/>
      <w:r>
        <w:t>Automation</w:t>
      </w:r>
      <w:proofErr w:type="spellEnd"/>
      <w:r>
        <w:t xml:space="preserve">, </w:t>
      </w:r>
      <w:proofErr w:type="spellStart"/>
      <w:r>
        <w:t>n.d</w:t>
      </w:r>
      <w:proofErr w:type="spellEnd"/>
      <w:r>
        <w:t>.), bu çalışmanın BOP-MES ayrımını akademik olarak desteklemektedir.</w:t>
      </w:r>
    </w:p>
    <w:p w14:paraId="16AAC390" w14:textId="77777777" w:rsidR="00FE38C0" w:rsidRDefault="00000000">
      <w:pPr>
        <w:pStyle w:val="GvdeMetni"/>
      </w:pPr>
      <w:r>
        <w:t>İkinci amaç, fiziksel hattan elde edilen üretim olaylarının BOP ile bağlandıktan sonra yalnızca sayım veya log kaydı değil, süreç bağlamı taşıyan izlenebilirlik verisi haline geldiğini göstermektir. Çalışma kitabında kırmızı, sarı ve mavi ürün akışları ROT-000001 referans rotası, R-HRGVD-01 BOP kimliği, iş emri, stok kodu ve dijital ikiz senaryosu ile ilişkilendirilmiştir.</w:t>
      </w:r>
    </w:p>
    <w:p w14:paraId="301D2130" w14:textId="77777777" w:rsidR="00FE38C0" w:rsidRDefault="00000000">
      <w:pPr>
        <w:pStyle w:val="GvdeMetni"/>
      </w:pPr>
      <w:r>
        <w:t xml:space="preserve">Üçüncü amaç, MOST ve OEE gibi klasik endüstri mühendisliği araçlarının dijital üretim mimarisi içinde yeniden konumlandırılmasıdır. Karim, </w:t>
      </w:r>
      <w:proofErr w:type="spellStart"/>
      <w:r>
        <w:t>Tuan</w:t>
      </w:r>
      <w:proofErr w:type="spellEnd"/>
      <w:r>
        <w:t xml:space="preserve"> ve </w:t>
      </w:r>
      <w:proofErr w:type="spellStart"/>
      <w:r>
        <w:t>Kays</w:t>
      </w:r>
      <w:proofErr w:type="spellEnd"/>
      <w:r>
        <w:t xml:space="preserve"> (2016), </w:t>
      </w:r>
      <w:proofErr w:type="spellStart"/>
      <w:r>
        <w:t>MOST’un</w:t>
      </w:r>
      <w:proofErr w:type="spellEnd"/>
      <w:r>
        <w:t xml:space="preserve"> montaj hattı üretkenliğini iyileştirmede iş ölçümü ve darboğaz analizi için kullanılabileceğini göstermiştir. Bu tezde MOST çıktıları BOP operasyon kodlarına bağlanarak, standart süre bilgisinin MES ve dijital ikiz tarafında tekrar kullanılabilir hale gelmesi hedeflenmektedir.</w:t>
      </w:r>
    </w:p>
    <w:p w14:paraId="688EF8EA" w14:textId="77777777" w:rsidR="00FE38C0" w:rsidRDefault="00000000">
      <w:pPr>
        <w:pStyle w:val="GvdeMetni"/>
      </w:pPr>
      <w:r>
        <w:lastRenderedPageBreak/>
        <w:t xml:space="preserve">Dördüncü amaç, dijital ikizin yalnızca görsel veya simülasyon odaklı bir model olmadığını, BOP ve MES verileriyle beslendiğinde gerçek üretim sisteminin olay mantığını temsil eden bir karar destek katmanına dönüşebileceğini göstermektir. Lu, </w:t>
      </w:r>
      <w:proofErr w:type="spellStart"/>
      <w:r>
        <w:t>Liu</w:t>
      </w:r>
      <w:proofErr w:type="spellEnd"/>
      <w:r>
        <w:t>, Wang, Huang ve Xu (2020), dijital ikiz çalışmalarında referans model, veri yapısı ve uygulama yöntemi eksikliklerinin önemli araştırma konuları olduğunu vurgular.</w:t>
      </w:r>
    </w:p>
    <w:p w14:paraId="4FF017FA" w14:textId="77777777" w:rsidR="00FE38C0" w:rsidRDefault="00000000">
      <w:pPr>
        <w:pStyle w:val="Balk1"/>
        <w:spacing w:after="120"/>
      </w:pPr>
      <w:r>
        <w:t>3. Problemin Kapsamı</w:t>
      </w:r>
    </w:p>
    <w:p w14:paraId="48D4AC09" w14:textId="77777777" w:rsidR="00FE38C0" w:rsidRDefault="00000000">
      <w:pPr>
        <w:pStyle w:val="GvdeMetni"/>
      </w:pPr>
      <w:r>
        <w:t xml:space="preserve">Çalışmanın kapsamı BOP merkezli veri mimarisinin tasarımı, canlı konveyör-MES entegrasyonu, OEE ve arıza izleme, MOST için standart zaman girdileri ve </w:t>
      </w:r>
      <w:proofErr w:type="spellStart"/>
      <w:r>
        <w:t>FlexSim</w:t>
      </w:r>
      <w:proofErr w:type="spellEnd"/>
      <w:r>
        <w:t xml:space="preserve"> dijital ikiz senaryoları ile sınırlıdır. Bu kapsam, fiziksel sistemin tüm endüstriyel karmaşıklığı temsil ettiği iddiasına dayanmaz; aksine, üretim veri mimarisinin temel bileşenlerinin kontrollü ve tekrar edilebilir bir laboratuvar ortamında doğrulanmasını hedefler.</w:t>
      </w:r>
    </w:p>
    <w:p w14:paraId="21D8A36C" w14:textId="77777777" w:rsidR="00FE38C0" w:rsidRDefault="00000000">
      <w:pPr>
        <w:pStyle w:val="GvdeMetni"/>
      </w:pPr>
      <w:r>
        <w:t xml:space="preserve">BOP kapsamı, rota ve operasyon akışının yalnızca sıralı üretim adımlarından ibaret görülmemesini gerektirir. Çalışma kitabındaki operasyon yapısı hassas tornalama, ön montaj hazırlık, conta uygulama, kapak vidalama, tork doğrulama, son kalite kontrol ve </w:t>
      </w:r>
      <w:proofErr w:type="spellStart"/>
      <w:r>
        <w:t>rework</w:t>
      </w:r>
      <w:proofErr w:type="spellEnd"/>
      <w:r>
        <w:t xml:space="preserve"> gibi süreçleri; operasyon tipi, bölüm, kritiklik, istasyon ve MOST girdisiyle birlikte ele almaktadır.</w:t>
      </w:r>
    </w:p>
    <w:p w14:paraId="0F022B06" w14:textId="77777777" w:rsidR="00FE38C0" w:rsidRDefault="00000000">
      <w:pPr>
        <w:pStyle w:val="GvdeMetni"/>
      </w:pPr>
      <w:r>
        <w:t xml:space="preserve">MES kapsamı; iş emirleri, stok kodları, ürün rengi, tamamlanan ürün kayıtları, kalite inceleme işareti, OEE </w:t>
      </w:r>
      <w:proofErr w:type="spellStart"/>
      <w:r>
        <w:t>snapshotları</w:t>
      </w:r>
      <w:proofErr w:type="spellEnd"/>
      <w:r>
        <w:t xml:space="preserve"> ve arıza özetleriyle sınırlıdır. Çalışma kitabında WO-20260414-RED-01, WO-20260414-MIX-02 ve WO-20260414-YEL-03 gibi iş emirleri yer almakta; üretim izlenebilirliği tablosunda her tamamlanan ürün için renk, kalite, </w:t>
      </w:r>
      <w:proofErr w:type="spellStart"/>
      <w:r>
        <w:t>review_required</w:t>
      </w:r>
      <w:proofErr w:type="spellEnd"/>
      <w:r>
        <w:t xml:space="preserve"> ve </w:t>
      </w:r>
      <w:proofErr w:type="spellStart"/>
      <w:r>
        <w:t>flow_ms</w:t>
      </w:r>
      <w:proofErr w:type="spellEnd"/>
      <w:r>
        <w:t xml:space="preserve"> alanları izlenmektedir.</w:t>
      </w:r>
    </w:p>
    <w:p w14:paraId="61392EEA" w14:textId="77777777" w:rsidR="00FE38C0" w:rsidRDefault="00000000">
      <w:pPr>
        <w:pStyle w:val="GvdeMetni"/>
      </w:pPr>
      <w:r>
        <w:t xml:space="preserve">Dijital ikiz kapsamı, fiziksel sistemin birebir tam dinamik doğrulaması yerine BOP ve MES verilerine dayalı senaryo kurma ve olay akışını temsil etme yeteneği ile sınırlandırılmıştır. </w:t>
      </w:r>
      <w:proofErr w:type="spellStart"/>
      <w:r>
        <w:t>Kritzinger</w:t>
      </w:r>
      <w:proofErr w:type="spellEnd"/>
      <w:r>
        <w:t xml:space="preserve"> vd. (2018), dijital model, dijital gölge ve dijital ikiz ayrımında veri entegrasyon düzeyinin belirleyici olduğunu belirtir.</w:t>
      </w:r>
    </w:p>
    <w:p w14:paraId="69C9A783" w14:textId="77777777" w:rsidR="00FE38C0" w:rsidRDefault="00000000">
      <w:pPr>
        <w:pStyle w:val="GvdeMetni"/>
      </w:pPr>
      <w:r>
        <w:t xml:space="preserve">Kapsam dışında bırakılan konular AGV, </w:t>
      </w:r>
      <w:proofErr w:type="spellStart"/>
      <w:r>
        <w:t>Pick-to-Light</w:t>
      </w:r>
      <w:proofErr w:type="spellEnd"/>
      <w:r>
        <w:t>, tam ölçekli fabrika entegrasyonu, çok hatlı üretim optimizasyonu, gelişmiş yapay zekâ tabanlı bakım, CAD-BOP mühendislik değişiklik yönetimi ve ticari PLM sistemlerine doğrudan bağlanmadır. Bu konular çalışmanın gelecek araştırma yönleri olarak değerlendirilecektir.</w:t>
      </w:r>
    </w:p>
    <w:p w14:paraId="782C4AFE" w14:textId="77777777" w:rsidR="00FE38C0" w:rsidRDefault="00000000">
      <w:pPr>
        <w:pStyle w:val="Balk1"/>
        <w:spacing w:after="120"/>
      </w:pPr>
      <w:r>
        <w:lastRenderedPageBreak/>
        <w:t>4. Önerilen Çözüm Yöntemleri ve Gerekçeleri</w:t>
      </w:r>
    </w:p>
    <w:p w14:paraId="5645DC85" w14:textId="77777777" w:rsidR="00FE38C0" w:rsidRDefault="00000000">
      <w:pPr>
        <w:pStyle w:val="GvdeMetni"/>
      </w:pPr>
      <w:r>
        <w:t xml:space="preserve">Önerilen çözüm, </w:t>
      </w:r>
      <w:proofErr w:type="spellStart"/>
      <w:r>
        <w:t>BOP’u</w:t>
      </w:r>
      <w:proofErr w:type="spellEnd"/>
      <w:r>
        <w:t xml:space="preserve"> tasarım-zamanı ana veri kaynağı; </w:t>
      </w:r>
      <w:proofErr w:type="spellStart"/>
      <w:r>
        <w:t>MES’i</w:t>
      </w:r>
      <w:proofErr w:type="spellEnd"/>
      <w:r>
        <w:t xml:space="preserve"> yürütme ve saha kaydı </w:t>
      </w:r>
      <w:proofErr w:type="gramStart"/>
      <w:r>
        <w:t>katmanı;</w:t>
      </w:r>
      <w:proofErr w:type="gramEnd"/>
      <w:r>
        <w:t xml:space="preserve"> </w:t>
      </w:r>
      <w:proofErr w:type="spellStart"/>
      <w:r>
        <w:t>OEE’yi</w:t>
      </w:r>
      <w:proofErr w:type="spellEnd"/>
      <w:r>
        <w:t xml:space="preserve"> performans değerlendirme </w:t>
      </w:r>
      <w:proofErr w:type="gramStart"/>
      <w:r>
        <w:t>göstergesi;</w:t>
      </w:r>
      <w:proofErr w:type="gramEnd"/>
      <w:r>
        <w:t xml:space="preserve"> </w:t>
      </w:r>
      <w:proofErr w:type="spellStart"/>
      <w:r>
        <w:t>MOST’u</w:t>
      </w:r>
      <w:proofErr w:type="spellEnd"/>
      <w:r>
        <w:t xml:space="preserve"> standart zaman ve iş etüdü referansı; dijital ikizi ise senaryo ve doğrulama katmanı olarak konumlandıran bütünleşik bir mimaridir. Bu mimaride BOP hangi ürünün hangi rota ve operasyonlarla üretileceğini; MES bu üretimin sahada hangi olaylarla gerçekleştiğini; OEE sistem etkinliğinin hangi kayıplardan </w:t>
      </w:r>
      <w:proofErr w:type="gramStart"/>
      <w:r>
        <w:t>etkilendiğini;</w:t>
      </w:r>
      <w:proofErr w:type="gramEnd"/>
      <w:r>
        <w:t xml:space="preserve"> MOST operasyonların teorik zaman </w:t>
      </w:r>
      <w:proofErr w:type="gramStart"/>
      <w:r>
        <w:t>karşılığını;</w:t>
      </w:r>
      <w:proofErr w:type="gramEnd"/>
      <w:r>
        <w:t xml:space="preserve"> dijital ikiz ise alternatif senaryoların sanal ortamda nasıl değerlendirileceğini temsil eder.</w:t>
      </w:r>
    </w:p>
    <w:p w14:paraId="5129CA09" w14:textId="77777777" w:rsidR="00FE38C0" w:rsidRDefault="00000000">
      <w:pPr>
        <w:pStyle w:val="GvdeMetni"/>
      </w:pPr>
      <w:r>
        <w:t xml:space="preserve">Yöntemin birinci gerekçesi veri bütünlüğüdür. BOP tarafındaki rota, operasyon, istasyon, kalite ve zaman bilgileri ayrı tablolarda dağınık şekilde tutulduğunda, üretim olaylarının anlamlandırılması zorlaşır. Bu nedenle çalışma kitabında entegrasyon haritası oluşturulmuş ve her renk bazlı ürün akışı BOP_ID, </w:t>
      </w:r>
      <w:proofErr w:type="spellStart"/>
      <w:r>
        <w:t>Rota_ID</w:t>
      </w:r>
      <w:proofErr w:type="spellEnd"/>
      <w:r>
        <w:t xml:space="preserve">, </w:t>
      </w:r>
      <w:proofErr w:type="spellStart"/>
      <w:r>
        <w:t>Rota_Kodu</w:t>
      </w:r>
      <w:proofErr w:type="spellEnd"/>
      <w:r>
        <w:t xml:space="preserve">, MES stok kodu, varsayılan iş emri miktarı, vardiya ve </w:t>
      </w:r>
      <w:proofErr w:type="spellStart"/>
      <w:r>
        <w:t>Twin_Senaryo_Kodu</w:t>
      </w:r>
      <w:proofErr w:type="spellEnd"/>
      <w:r>
        <w:t xml:space="preserve"> ile eşleştirilmiştir.</w:t>
      </w:r>
    </w:p>
    <w:p w14:paraId="4B388E71" w14:textId="77777777" w:rsidR="00FE38C0" w:rsidRDefault="00000000">
      <w:pPr>
        <w:pStyle w:val="GvdeMetni"/>
      </w:pPr>
      <w:r>
        <w:t xml:space="preserve">Yöntemin ikinci gerekçesi, MES katmanının üretim yürütme ile kurumsal plan arasında köprü görevi görmesidir. </w:t>
      </w:r>
      <w:proofErr w:type="spellStart"/>
      <w:r>
        <w:t>Govindaraju</w:t>
      </w:r>
      <w:proofErr w:type="spellEnd"/>
      <w:r>
        <w:t xml:space="preserve">, </w:t>
      </w:r>
      <w:proofErr w:type="spellStart"/>
      <w:r>
        <w:t>Lukman</w:t>
      </w:r>
      <w:proofErr w:type="spellEnd"/>
      <w:r>
        <w:t xml:space="preserve"> ve </w:t>
      </w:r>
      <w:proofErr w:type="spellStart"/>
      <w:r>
        <w:t>Chandra</w:t>
      </w:r>
      <w:proofErr w:type="spellEnd"/>
      <w:r>
        <w:t xml:space="preserve"> (2014), </w:t>
      </w:r>
      <w:proofErr w:type="spellStart"/>
      <w:r>
        <w:t>MES’in</w:t>
      </w:r>
      <w:proofErr w:type="spellEnd"/>
      <w:r>
        <w:t xml:space="preserve"> ERP gibi üst seviye bilgi sistemleri ile otomasyon sistemleri arasındaki boşluğu kapattığını ve ISA-95’in bu entegrasyon için referans model sunduğunu belirtir.</w:t>
      </w:r>
    </w:p>
    <w:p w14:paraId="53BD505A" w14:textId="77777777" w:rsidR="00FE38C0" w:rsidRDefault="00000000">
      <w:pPr>
        <w:pStyle w:val="GvdeMetni"/>
      </w:pPr>
      <w:r>
        <w:t xml:space="preserve">Yöntemin üçüncü gerekçesi, </w:t>
      </w:r>
      <w:proofErr w:type="spellStart"/>
      <w:r>
        <w:t>OEE’nin</w:t>
      </w:r>
      <w:proofErr w:type="spellEnd"/>
      <w:r>
        <w:t xml:space="preserve"> tek başına sonuç göstergesi olmaktan çıkarılmasıdır. Çalışma kitabındaki son OEE değerinin </w:t>
      </w:r>
      <w:proofErr w:type="gramStart"/>
      <w:r>
        <w:t>%66.7</w:t>
      </w:r>
      <w:proofErr w:type="gramEnd"/>
      <w:r>
        <w:t xml:space="preserve">, kullanılabilirlik ve performans değerlerinin %100 ve %100 olması, kalite tarafındaki inceleme gerektiren ürünlerin OEE yorumunda kritik hale geldiğini göstermektedir. Ng </w:t>
      </w:r>
      <w:proofErr w:type="spellStart"/>
      <w:r>
        <w:t>Corrales</w:t>
      </w:r>
      <w:proofErr w:type="spellEnd"/>
      <w:r>
        <w:t xml:space="preserve"> vd. (2020) </w:t>
      </w:r>
      <w:proofErr w:type="spellStart"/>
      <w:r>
        <w:t>OEE’nin</w:t>
      </w:r>
      <w:proofErr w:type="spellEnd"/>
      <w:r>
        <w:t xml:space="preserve"> farklı sektörlere uyarlanabilir bir karar destek göstergesi olduğunu vurguladığından, bu tezde OEE BOP bağlamıyla birlikte yorumlanmaktadır.</w:t>
      </w:r>
    </w:p>
    <w:p w14:paraId="20C07B97" w14:textId="77777777" w:rsidR="00FE38C0" w:rsidRDefault="00000000">
      <w:pPr>
        <w:pStyle w:val="GvdeMetni"/>
      </w:pPr>
      <w:r>
        <w:t xml:space="preserve">Yöntemin dördüncü gerekçesi, </w:t>
      </w:r>
      <w:proofErr w:type="spellStart"/>
      <w:r>
        <w:t>MOST’un</w:t>
      </w:r>
      <w:proofErr w:type="spellEnd"/>
      <w:r>
        <w:t xml:space="preserve"> operasyon seviyesinde standart zaman sağlayarak hem BOP hem de dijital ikiz için ortak referans üretmesidir. </w:t>
      </w:r>
      <w:proofErr w:type="spellStart"/>
      <w:r>
        <w:t>Ganorkar</w:t>
      </w:r>
      <w:proofErr w:type="spellEnd"/>
      <w:r>
        <w:t xml:space="preserve">, </w:t>
      </w:r>
      <w:proofErr w:type="spellStart"/>
      <w:r>
        <w:t>Lakhe</w:t>
      </w:r>
      <w:proofErr w:type="spellEnd"/>
      <w:r>
        <w:t xml:space="preserve"> ve </w:t>
      </w:r>
      <w:proofErr w:type="spellStart"/>
      <w:r>
        <w:t>Agrawal</w:t>
      </w:r>
      <w:proofErr w:type="spellEnd"/>
      <w:r>
        <w:t xml:space="preserve"> (2019), </w:t>
      </w:r>
      <w:proofErr w:type="spellStart"/>
      <w:r>
        <w:t>MOST’un</w:t>
      </w:r>
      <w:proofErr w:type="spellEnd"/>
      <w:r>
        <w:t xml:space="preserve"> zaman denklemleri kurma, üretkenlik iyileştirme ve maliyet tüketim alanlarını belirleme açısından kullanılabileceğini göstermektedir.</w:t>
      </w:r>
    </w:p>
    <w:p w14:paraId="1352231B" w14:textId="77777777" w:rsidR="00FE38C0" w:rsidRDefault="00000000">
      <w:pPr>
        <w:pStyle w:val="GvdeMetni"/>
      </w:pPr>
      <w:r>
        <w:t xml:space="preserve">Yöntemin beşinci gerekçesi, dijital ikizin veriyle beslenen bir senaryo ortamına dönüştürülmesidir. </w:t>
      </w:r>
      <w:proofErr w:type="spellStart"/>
      <w:r>
        <w:t>Grieves</w:t>
      </w:r>
      <w:proofErr w:type="spellEnd"/>
      <w:r>
        <w:t xml:space="preserve"> ve </w:t>
      </w:r>
      <w:proofErr w:type="spellStart"/>
      <w:r>
        <w:t>Vickers</w:t>
      </w:r>
      <w:proofErr w:type="spellEnd"/>
      <w:r>
        <w:t xml:space="preserve"> (2017), dijital ikizin fiziksel sistem ile sanal karşılığı arasındaki bağlantı üzerinden karmaşık sistem davranışlarını anlamaya yardımcı olabileceğini belirtir. Bu çalışmada SCN-RED, SCN-YELLOW ve SCN-BLUE senaryoları aynı referans rota ile ilişkilendirilmiştir.</w:t>
      </w:r>
    </w:p>
    <w:p w14:paraId="51196EB7" w14:textId="77777777" w:rsidR="00FE38C0" w:rsidRDefault="00000000">
      <w:pPr>
        <w:pStyle w:val="Balk2"/>
      </w:pPr>
      <w:r>
        <w:lastRenderedPageBreak/>
        <w:t>Tablo 1. BOP-MES entegrasyon haritası</w:t>
      </w:r>
    </w:p>
    <w:tbl>
      <w:tblPr>
        <w:tblStyle w:val="TabloKlavuzu"/>
        <w:tblW w:w="0" w:type="auto"/>
        <w:tblInd w:w="5"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CellMar>
          <w:top w:w="0" w:type="dxa"/>
          <w:left w:w="0" w:type="dxa"/>
          <w:bottom w:w="0" w:type="dxa"/>
          <w:right w:w="0" w:type="dxa"/>
        </w:tblCellMar>
        <w:tblLook w:val="04A0" w:firstRow="1" w:lastRow="0" w:firstColumn="1" w:lastColumn="0" w:noHBand="0" w:noVBand="1"/>
      </w:tblPr>
      <w:tblGrid>
        <w:gridCol w:w="992"/>
        <w:gridCol w:w="555"/>
        <w:gridCol w:w="523"/>
        <w:gridCol w:w="764"/>
        <w:gridCol w:w="990"/>
        <w:gridCol w:w="1006"/>
        <w:gridCol w:w="1691"/>
        <w:gridCol w:w="1224"/>
        <w:gridCol w:w="1286"/>
      </w:tblGrid>
      <w:tr w:rsidR="00FE38C0" w14:paraId="405DFBA7" w14:textId="77777777">
        <w:tblPrEx>
          <w:tblCellMar>
            <w:top w:w="0" w:type="dxa"/>
            <w:left w:w="0" w:type="dxa"/>
            <w:bottom w:w="0" w:type="dxa"/>
            <w:right w:w="0" w:type="dxa"/>
          </w:tblCellMar>
        </w:tblPrEx>
        <w:tc>
          <w:tcPr>
            <w:tcW w:w="2400" w:type="dxa"/>
            <w:shd w:val="clear" w:color="auto" w:fill="D9EAF7"/>
          </w:tcPr>
          <w:p w14:paraId="57B94D41" w14:textId="77777777" w:rsidR="00FE38C0" w:rsidRDefault="00000000">
            <w:pPr>
              <w:pStyle w:val="TableText"/>
            </w:pPr>
            <w:proofErr w:type="spellStart"/>
            <w:r>
              <w:rPr>
                <w:b/>
              </w:rPr>
              <w:t>Entegrasyon_ID</w:t>
            </w:r>
            <w:proofErr w:type="spellEnd"/>
          </w:p>
        </w:tc>
        <w:tc>
          <w:tcPr>
            <w:tcW w:w="2400" w:type="dxa"/>
            <w:shd w:val="clear" w:color="auto" w:fill="D9EAF7"/>
          </w:tcPr>
          <w:p w14:paraId="7AD58A3B" w14:textId="77777777" w:rsidR="00FE38C0" w:rsidRDefault="00000000">
            <w:pPr>
              <w:pStyle w:val="TableText"/>
            </w:pPr>
            <w:r>
              <w:rPr>
                <w:b/>
              </w:rPr>
              <w:t>BOP_ID</w:t>
            </w:r>
          </w:p>
        </w:tc>
        <w:tc>
          <w:tcPr>
            <w:tcW w:w="2400" w:type="dxa"/>
            <w:shd w:val="clear" w:color="auto" w:fill="D9EAF7"/>
          </w:tcPr>
          <w:p w14:paraId="6D24EE8B" w14:textId="77777777" w:rsidR="00FE38C0" w:rsidRDefault="00000000">
            <w:pPr>
              <w:pStyle w:val="TableText"/>
            </w:pPr>
            <w:proofErr w:type="spellStart"/>
            <w:r>
              <w:rPr>
                <w:b/>
              </w:rPr>
              <w:t>Rota_ID</w:t>
            </w:r>
            <w:proofErr w:type="spellEnd"/>
          </w:p>
        </w:tc>
        <w:tc>
          <w:tcPr>
            <w:tcW w:w="2400" w:type="dxa"/>
            <w:shd w:val="clear" w:color="auto" w:fill="D9EAF7"/>
          </w:tcPr>
          <w:p w14:paraId="3CE0471A" w14:textId="77777777" w:rsidR="00FE38C0" w:rsidRDefault="00000000">
            <w:pPr>
              <w:pStyle w:val="TableText"/>
            </w:pPr>
            <w:proofErr w:type="spellStart"/>
            <w:r>
              <w:rPr>
                <w:b/>
              </w:rPr>
              <w:t>Rota_Kodu</w:t>
            </w:r>
            <w:proofErr w:type="spellEnd"/>
          </w:p>
        </w:tc>
        <w:tc>
          <w:tcPr>
            <w:tcW w:w="2400" w:type="dxa"/>
            <w:shd w:val="clear" w:color="auto" w:fill="D9EAF7"/>
          </w:tcPr>
          <w:p w14:paraId="03148CFC" w14:textId="77777777" w:rsidR="00FE38C0" w:rsidRDefault="00000000">
            <w:pPr>
              <w:pStyle w:val="TableText"/>
            </w:pPr>
            <w:proofErr w:type="spellStart"/>
            <w:r>
              <w:rPr>
                <w:b/>
              </w:rPr>
              <w:t>Konveyor_Renk</w:t>
            </w:r>
            <w:proofErr w:type="spellEnd"/>
          </w:p>
        </w:tc>
        <w:tc>
          <w:tcPr>
            <w:tcW w:w="2400" w:type="dxa"/>
            <w:shd w:val="clear" w:color="auto" w:fill="D9EAF7"/>
          </w:tcPr>
          <w:p w14:paraId="46715F89" w14:textId="77777777" w:rsidR="00FE38C0" w:rsidRDefault="00000000">
            <w:pPr>
              <w:pStyle w:val="TableText"/>
            </w:pPr>
            <w:proofErr w:type="spellStart"/>
            <w:r>
              <w:rPr>
                <w:b/>
              </w:rPr>
              <w:t>Mes_Stok_Kodu</w:t>
            </w:r>
            <w:proofErr w:type="spellEnd"/>
          </w:p>
        </w:tc>
        <w:tc>
          <w:tcPr>
            <w:tcW w:w="2400" w:type="dxa"/>
            <w:shd w:val="clear" w:color="auto" w:fill="D9EAF7"/>
          </w:tcPr>
          <w:p w14:paraId="066AE943" w14:textId="77777777" w:rsidR="00FE38C0" w:rsidRDefault="00000000">
            <w:pPr>
              <w:pStyle w:val="TableText"/>
            </w:pPr>
            <w:proofErr w:type="spellStart"/>
            <w:r>
              <w:rPr>
                <w:b/>
              </w:rPr>
              <w:t>Varsayilan_Siparis_Miktari</w:t>
            </w:r>
            <w:proofErr w:type="spellEnd"/>
          </w:p>
        </w:tc>
        <w:tc>
          <w:tcPr>
            <w:tcW w:w="2400" w:type="dxa"/>
            <w:shd w:val="clear" w:color="auto" w:fill="D9EAF7"/>
          </w:tcPr>
          <w:p w14:paraId="4E835554" w14:textId="77777777" w:rsidR="00FE38C0" w:rsidRDefault="00000000">
            <w:pPr>
              <w:pStyle w:val="TableText"/>
            </w:pPr>
            <w:proofErr w:type="spellStart"/>
            <w:r>
              <w:rPr>
                <w:b/>
              </w:rPr>
              <w:t>Varsayilan_Vardiya</w:t>
            </w:r>
            <w:proofErr w:type="spellEnd"/>
          </w:p>
        </w:tc>
        <w:tc>
          <w:tcPr>
            <w:tcW w:w="2400" w:type="dxa"/>
            <w:shd w:val="clear" w:color="auto" w:fill="D9EAF7"/>
          </w:tcPr>
          <w:p w14:paraId="1F6D54E1" w14:textId="77777777" w:rsidR="00FE38C0" w:rsidRDefault="00000000">
            <w:pPr>
              <w:pStyle w:val="TableText"/>
            </w:pPr>
            <w:proofErr w:type="spellStart"/>
            <w:r>
              <w:rPr>
                <w:b/>
              </w:rPr>
              <w:t>Twin_Senaryo_Kodu</w:t>
            </w:r>
            <w:proofErr w:type="spellEnd"/>
          </w:p>
        </w:tc>
      </w:tr>
      <w:tr w:rsidR="00FE38C0" w14:paraId="03DFD8B6" w14:textId="77777777">
        <w:tblPrEx>
          <w:tblCellMar>
            <w:top w:w="0" w:type="dxa"/>
            <w:left w:w="0" w:type="dxa"/>
            <w:bottom w:w="0" w:type="dxa"/>
            <w:right w:w="0" w:type="dxa"/>
          </w:tblCellMar>
        </w:tblPrEx>
        <w:tc>
          <w:tcPr>
            <w:tcW w:w="2400" w:type="dxa"/>
          </w:tcPr>
          <w:p w14:paraId="708C0D2E" w14:textId="77777777" w:rsidR="00FE38C0" w:rsidRDefault="00000000">
            <w:pPr>
              <w:pStyle w:val="TableText"/>
            </w:pPr>
            <w:r>
              <w:t>INT-RED-001</w:t>
            </w:r>
          </w:p>
        </w:tc>
        <w:tc>
          <w:tcPr>
            <w:tcW w:w="2400" w:type="dxa"/>
          </w:tcPr>
          <w:p w14:paraId="47E2A3E8" w14:textId="77777777" w:rsidR="00FE38C0" w:rsidRDefault="00000000">
            <w:pPr>
              <w:pStyle w:val="TableText"/>
            </w:pPr>
            <w:r>
              <w:t>R-HRGVD-01</w:t>
            </w:r>
          </w:p>
        </w:tc>
        <w:tc>
          <w:tcPr>
            <w:tcW w:w="2400" w:type="dxa"/>
          </w:tcPr>
          <w:p w14:paraId="5CB6E168" w14:textId="77777777" w:rsidR="00FE38C0" w:rsidRDefault="00000000">
            <w:pPr>
              <w:pStyle w:val="TableText"/>
            </w:pPr>
            <w:r>
              <w:t>ROT-000001</w:t>
            </w:r>
          </w:p>
        </w:tc>
        <w:tc>
          <w:tcPr>
            <w:tcW w:w="2400" w:type="dxa"/>
          </w:tcPr>
          <w:p w14:paraId="6EF242B9" w14:textId="77777777" w:rsidR="00FE38C0" w:rsidRDefault="00000000">
            <w:pPr>
              <w:pStyle w:val="TableText"/>
            </w:pPr>
            <w:r>
              <w:t>ROT-HRGVD610-001</w:t>
            </w:r>
          </w:p>
        </w:tc>
        <w:tc>
          <w:tcPr>
            <w:tcW w:w="2400" w:type="dxa"/>
          </w:tcPr>
          <w:p w14:paraId="5EF69B48" w14:textId="77777777" w:rsidR="00FE38C0" w:rsidRDefault="00000000">
            <w:pPr>
              <w:pStyle w:val="TableText"/>
            </w:pPr>
            <w:proofErr w:type="spellStart"/>
            <w:proofErr w:type="gramStart"/>
            <w:r>
              <w:t>red</w:t>
            </w:r>
            <w:proofErr w:type="spellEnd"/>
            <w:proofErr w:type="gramEnd"/>
          </w:p>
        </w:tc>
        <w:tc>
          <w:tcPr>
            <w:tcW w:w="2400" w:type="dxa"/>
          </w:tcPr>
          <w:p w14:paraId="35AFFE89" w14:textId="77777777" w:rsidR="00FE38C0" w:rsidRDefault="00000000">
            <w:pPr>
              <w:pStyle w:val="TableText"/>
            </w:pPr>
            <w:r>
              <w:t>BOX-RED</w:t>
            </w:r>
          </w:p>
        </w:tc>
        <w:tc>
          <w:tcPr>
            <w:tcW w:w="2400" w:type="dxa"/>
          </w:tcPr>
          <w:p w14:paraId="3BC49E65" w14:textId="77777777" w:rsidR="00FE38C0" w:rsidRDefault="00000000">
            <w:pPr>
              <w:pStyle w:val="TableText"/>
            </w:pPr>
            <w:r>
              <w:t>2</w:t>
            </w:r>
          </w:p>
        </w:tc>
        <w:tc>
          <w:tcPr>
            <w:tcW w:w="2400" w:type="dxa"/>
          </w:tcPr>
          <w:p w14:paraId="00FD4D41" w14:textId="77777777" w:rsidR="00FE38C0" w:rsidRDefault="00000000">
            <w:pPr>
              <w:pStyle w:val="TableText"/>
            </w:pPr>
            <w:r>
              <w:t>SHIFT-A</w:t>
            </w:r>
          </w:p>
        </w:tc>
        <w:tc>
          <w:tcPr>
            <w:tcW w:w="2400" w:type="dxa"/>
          </w:tcPr>
          <w:p w14:paraId="108971CF" w14:textId="77777777" w:rsidR="00FE38C0" w:rsidRDefault="00000000">
            <w:pPr>
              <w:pStyle w:val="TableText"/>
            </w:pPr>
            <w:r>
              <w:t>SCN-RED</w:t>
            </w:r>
          </w:p>
        </w:tc>
      </w:tr>
      <w:tr w:rsidR="00FE38C0" w14:paraId="708BD6F0" w14:textId="77777777">
        <w:tblPrEx>
          <w:tblCellMar>
            <w:top w:w="0" w:type="dxa"/>
            <w:left w:w="0" w:type="dxa"/>
            <w:bottom w:w="0" w:type="dxa"/>
            <w:right w:w="0" w:type="dxa"/>
          </w:tblCellMar>
        </w:tblPrEx>
        <w:tc>
          <w:tcPr>
            <w:tcW w:w="2400" w:type="dxa"/>
          </w:tcPr>
          <w:p w14:paraId="3D897A2C" w14:textId="77777777" w:rsidR="00FE38C0" w:rsidRDefault="00000000">
            <w:pPr>
              <w:pStyle w:val="TableText"/>
            </w:pPr>
            <w:r>
              <w:t>INT-YELLOW-001</w:t>
            </w:r>
          </w:p>
        </w:tc>
        <w:tc>
          <w:tcPr>
            <w:tcW w:w="2400" w:type="dxa"/>
          </w:tcPr>
          <w:p w14:paraId="5E20C715" w14:textId="77777777" w:rsidR="00FE38C0" w:rsidRDefault="00000000">
            <w:pPr>
              <w:pStyle w:val="TableText"/>
            </w:pPr>
            <w:r>
              <w:t>R-HRGVD-01</w:t>
            </w:r>
          </w:p>
        </w:tc>
        <w:tc>
          <w:tcPr>
            <w:tcW w:w="2400" w:type="dxa"/>
          </w:tcPr>
          <w:p w14:paraId="2A8251BD" w14:textId="77777777" w:rsidR="00FE38C0" w:rsidRDefault="00000000">
            <w:pPr>
              <w:pStyle w:val="TableText"/>
            </w:pPr>
            <w:r>
              <w:t>ROT-000001</w:t>
            </w:r>
          </w:p>
        </w:tc>
        <w:tc>
          <w:tcPr>
            <w:tcW w:w="2400" w:type="dxa"/>
          </w:tcPr>
          <w:p w14:paraId="648682B8" w14:textId="77777777" w:rsidR="00FE38C0" w:rsidRDefault="00000000">
            <w:pPr>
              <w:pStyle w:val="TableText"/>
            </w:pPr>
            <w:r>
              <w:t>ROT-HRGVD610-001</w:t>
            </w:r>
          </w:p>
        </w:tc>
        <w:tc>
          <w:tcPr>
            <w:tcW w:w="2400" w:type="dxa"/>
          </w:tcPr>
          <w:p w14:paraId="1751BC7D" w14:textId="77777777" w:rsidR="00FE38C0" w:rsidRDefault="00000000">
            <w:pPr>
              <w:pStyle w:val="TableText"/>
            </w:pPr>
            <w:proofErr w:type="spellStart"/>
            <w:proofErr w:type="gramStart"/>
            <w:r>
              <w:t>yellow</w:t>
            </w:r>
            <w:proofErr w:type="spellEnd"/>
            <w:proofErr w:type="gramEnd"/>
          </w:p>
        </w:tc>
        <w:tc>
          <w:tcPr>
            <w:tcW w:w="2400" w:type="dxa"/>
          </w:tcPr>
          <w:p w14:paraId="35B8D39D" w14:textId="77777777" w:rsidR="00FE38C0" w:rsidRDefault="00000000">
            <w:pPr>
              <w:pStyle w:val="TableText"/>
            </w:pPr>
            <w:r>
              <w:t>BOX-YEL</w:t>
            </w:r>
          </w:p>
        </w:tc>
        <w:tc>
          <w:tcPr>
            <w:tcW w:w="2400" w:type="dxa"/>
          </w:tcPr>
          <w:p w14:paraId="0E9AFD76" w14:textId="77777777" w:rsidR="00FE38C0" w:rsidRDefault="00000000">
            <w:pPr>
              <w:pStyle w:val="TableText"/>
            </w:pPr>
            <w:r>
              <w:t>1</w:t>
            </w:r>
          </w:p>
        </w:tc>
        <w:tc>
          <w:tcPr>
            <w:tcW w:w="2400" w:type="dxa"/>
          </w:tcPr>
          <w:p w14:paraId="6AFA6005" w14:textId="77777777" w:rsidR="00FE38C0" w:rsidRDefault="00000000">
            <w:pPr>
              <w:pStyle w:val="TableText"/>
            </w:pPr>
            <w:r>
              <w:t>SHIFT-A</w:t>
            </w:r>
          </w:p>
        </w:tc>
        <w:tc>
          <w:tcPr>
            <w:tcW w:w="2400" w:type="dxa"/>
          </w:tcPr>
          <w:p w14:paraId="22429CF3" w14:textId="77777777" w:rsidR="00FE38C0" w:rsidRDefault="00000000">
            <w:pPr>
              <w:pStyle w:val="TableText"/>
            </w:pPr>
            <w:r>
              <w:t>SCN-YELLOW</w:t>
            </w:r>
          </w:p>
        </w:tc>
      </w:tr>
      <w:tr w:rsidR="00FE38C0" w14:paraId="1C1A3AAD" w14:textId="77777777">
        <w:tblPrEx>
          <w:tblCellMar>
            <w:top w:w="0" w:type="dxa"/>
            <w:left w:w="0" w:type="dxa"/>
            <w:bottom w:w="0" w:type="dxa"/>
            <w:right w:w="0" w:type="dxa"/>
          </w:tblCellMar>
        </w:tblPrEx>
        <w:tc>
          <w:tcPr>
            <w:tcW w:w="2400" w:type="dxa"/>
          </w:tcPr>
          <w:p w14:paraId="3FC1AC06" w14:textId="77777777" w:rsidR="00FE38C0" w:rsidRDefault="00000000">
            <w:pPr>
              <w:pStyle w:val="TableText"/>
            </w:pPr>
            <w:r>
              <w:t>INT-BLUE-001</w:t>
            </w:r>
          </w:p>
        </w:tc>
        <w:tc>
          <w:tcPr>
            <w:tcW w:w="2400" w:type="dxa"/>
          </w:tcPr>
          <w:p w14:paraId="03F13F52" w14:textId="77777777" w:rsidR="00FE38C0" w:rsidRDefault="00000000">
            <w:pPr>
              <w:pStyle w:val="TableText"/>
            </w:pPr>
            <w:r>
              <w:t>R-HRGVD-01</w:t>
            </w:r>
          </w:p>
        </w:tc>
        <w:tc>
          <w:tcPr>
            <w:tcW w:w="2400" w:type="dxa"/>
          </w:tcPr>
          <w:p w14:paraId="5916D7CC" w14:textId="77777777" w:rsidR="00FE38C0" w:rsidRDefault="00000000">
            <w:pPr>
              <w:pStyle w:val="TableText"/>
            </w:pPr>
            <w:r>
              <w:t>ROT-000001</w:t>
            </w:r>
          </w:p>
        </w:tc>
        <w:tc>
          <w:tcPr>
            <w:tcW w:w="2400" w:type="dxa"/>
          </w:tcPr>
          <w:p w14:paraId="5C6190FD" w14:textId="77777777" w:rsidR="00FE38C0" w:rsidRDefault="00000000">
            <w:pPr>
              <w:pStyle w:val="TableText"/>
            </w:pPr>
            <w:r>
              <w:t>ROT-HRGVD610-001</w:t>
            </w:r>
          </w:p>
        </w:tc>
        <w:tc>
          <w:tcPr>
            <w:tcW w:w="2400" w:type="dxa"/>
          </w:tcPr>
          <w:p w14:paraId="2604189F" w14:textId="77777777" w:rsidR="00FE38C0" w:rsidRDefault="00000000">
            <w:pPr>
              <w:pStyle w:val="TableText"/>
            </w:pPr>
            <w:proofErr w:type="spellStart"/>
            <w:proofErr w:type="gramStart"/>
            <w:r>
              <w:t>blue</w:t>
            </w:r>
            <w:proofErr w:type="spellEnd"/>
            <w:proofErr w:type="gramEnd"/>
          </w:p>
        </w:tc>
        <w:tc>
          <w:tcPr>
            <w:tcW w:w="2400" w:type="dxa"/>
          </w:tcPr>
          <w:p w14:paraId="06315605" w14:textId="77777777" w:rsidR="00FE38C0" w:rsidRDefault="00000000">
            <w:pPr>
              <w:pStyle w:val="TableText"/>
            </w:pPr>
            <w:r>
              <w:t>BOX-BLU</w:t>
            </w:r>
          </w:p>
        </w:tc>
        <w:tc>
          <w:tcPr>
            <w:tcW w:w="2400" w:type="dxa"/>
          </w:tcPr>
          <w:p w14:paraId="2DBDB185" w14:textId="77777777" w:rsidR="00FE38C0" w:rsidRDefault="00000000">
            <w:pPr>
              <w:pStyle w:val="TableText"/>
            </w:pPr>
            <w:r>
              <w:t>1</w:t>
            </w:r>
          </w:p>
        </w:tc>
        <w:tc>
          <w:tcPr>
            <w:tcW w:w="2400" w:type="dxa"/>
          </w:tcPr>
          <w:p w14:paraId="614FFB87" w14:textId="77777777" w:rsidR="00FE38C0" w:rsidRDefault="00000000">
            <w:pPr>
              <w:pStyle w:val="TableText"/>
            </w:pPr>
            <w:r>
              <w:t>SHIFT-A</w:t>
            </w:r>
          </w:p>
        </w:tc>
        <w:tc>
          <w:tcPr>
            <w:tcW w:w="2400" w:type="dxa"/>
          </w:tcPr>
          <w:p w14:paraId="54715D6E" w14:textId="77777777" w:rsidR="00FE38C0" w:rsidRDefault="00000000">
            <w:pPr>
              <w:pStyle w:val="TableText"/>
            </w:pPr>
            <w:r>
              <w:t>SCN-BLUE</w:t>
            </w:r>
          </w:p>
        </w:tc>
      </w:tr>
    </w:tbl>
    <w:p w14:paraId="3549C009" w14:textId="77777777" w:rsidR="00FE38C0" w:rsidRDefault="00FE38C0">
      <w:pPr>
        <w:spacing w:after="160"/>
      </w:pPr>
    </w:p>
    <w:p w14:paraId="6958F428" w14:textId="77777777" w:rsidR="00FE38C0" w:rsidRDefault="00000000">
      <w:pPr>
        <w:pStyle w:val="Balk1"/>
        <w:spacing w:after="120"/>
      </w:pPr>
      <w:r>
        <w:t>5. Beklenen Faydalar</w:t>
      </w:r>
    </w:p>
    <w:p w14:paraId="149B8909" w14:textId="77777777" w:rsidR="00FE38C0" w:rsidRDefault="00000000">
      <w:pPr>
        <w:pStyle w:val="Balk2"/>
      </w:pPr>
      <w:r>
        <w:t>A. Sanayiye Faydaları</w:t>
      </w:r>
    </w:p>
    <w:p w14:paraId="2DE4E454" w14:textId="77777777" w:rsidR="00FE38C0" w:rsidRDefault="00000000">
      <w:pPr>
        <w:pStyle w:val="GvdeMetni"/>
      </w:pPr>
      <w:r>
        <w:t>Sanayi açısından çalışmanın en önemli faydası, BOP verisinin üretim yürütme ve performans izleme ile ilişkilendirilebilir hale gelmesidir. Bu yaklaşım, özellikle KOBİ ölçeğindeki işletmeler için yüksek maliyetli PLM-MES yatırımlarına başlamadan önce temel veri mimarisini kurma olanağı sağlar.</w:t>
      </w:r>
    </w:p>
    <w:p w14:paraId="41183DFC" w14:textId="77777777" w:rsidR="00FE38C0" w:rsidRDefault="00000000">
      <w:pPr>
        <w:pStyle w:val="GvdeMetni"/>
      </w:pPr>
      <w:r>
        <w:t>İkinci sanayi faydası izlenebilirliktir. Canlı sistemde tamamlanan ürünler renk, kalite, akış süresi, iş emri ve BOP referansı ile eşleştirildiğinde her üretim olayı kurumsal süreç ağı içinde yorumlanabilir. Bu yapı, kalite problemlerinin yalnızca son kontrol sonucu olarak değil, ilgili operasyon ve kalite kapısı üzerinden tartışılmasını sağlar.</w:t>
      </w:r>
    </w:p>
    <w:p w14:paraId="5A0ED3B9" w14:textId="77777777" w:rsidR="00FE38C0" w:rsidRDefault="00000000">
      <w:pPr>
        <w:pStyle w:val="GvdeMetni"/>
      </w:pPr>
      <w:r>
        <w:t xml:space="preserve">Üçüncü sanayi faydası OEE yorumunun güçlenmesidir. Son OEE değerinin </w:t>
      </w:r>
      <w:proofErr w:type="gramStart"/>
      <w:r>
        <w:t>%66.7</w:t>
      </w:r>
      <w:proofErr w:type="gramEnd"/>
      <w:r>
        <w:t xml:space="preserve"> olarak kaydedilmesi tek başına bir sonuçtur; ancak 7 ürünün inceleme gerektirmesi kalite bileşenine, 23367.67 </w:t>
      </w:r>
      <w:proofErr w:type="spellStart"/>
      <w:r>
        <w:t>ms</w:t>
      </w:r>
      <w:proofErr w:type="spellEnd"/>
      <w:r>
        <w:t xml:space="preserve"> ortalama akış süresi performans yorumuna, kayıtlı arıza adedinin 0 olması ise kontrollü arıza senaryosu ihtiyacına işaret eder.</w:t>
      </w:r>
    </w:p>
    <w:p w14:paraId="05DD3E9F" w14:textId="77777777" w:rsidR="00FE38C0" w:rsidRDefault="00000000">
      <w:pPr>
        <w:pStyle w:val="GvdeMetni"/>
      </w:pPr>
      <w:r>
        <w:t xml:space="preserve">Dördüncü sanayi faydası ölçeklenebilirliktir. Laboratuvar ölçeğinde renk bazlı ürün akışlarıyla kanıtlanan BOP-MES eşleştirme mantığı, daha büyük sistemlerde ürün varyantı, alternatif rota, paralel istasyon, </w:t>
      </w:r>
      <w:proofErr w:type="spellStart"/>
      <w:r>
        <w:t>rework</w:t>
      </w:r>
      <w:proofErr w:type="spellEnd"/>
      <w:r>
        <w:t xml:space="preserve"> akışı ve kalite kapısı senaryolarına genişletilebilir.</w:t>
      </w:r>
    </w:p>
    <w:p w14:paraId="13B80825" w14:textId="77777777" w:rsidR="00FE38C0" w:rsidRDefault="00000000">
      <w:pPr>
        <w:pStyle w:val="Balk2"/>
      </w:pPr>
      <w:r>
        <w:lastRenderedPageBreak/>
        <w:t>B. Akademiye ve Öğrencilere Faydaları</w:t>
      </w:r>
    </w:p>
    <w:p w14:paraId="161D37A1" w14:textId="77777777" w:rsidR="00FE38C0" w:rsidRDefault="00000000">
      <w:pPr>
        <w:pStyle w:val="GvdeMetni"/>
      </w:pPr>
      <w:r>
        <w:t xml:space="preserve">Akademik açıdan çalışma, BOP, MES, OEE, MOST ve dijital ikiz gibi çoğu zaman ayrı ders veya proje başlıkları altında incelenen konuları tek bir üretim veri mimarisi içinde birleştirmektedir. Lee, </w:t>
      </w:r>
      <w:proofErr w:type="spellStart"/>
      <w:r>
        <w:t>Bagheri</w:t>
      </w:r>
      <w:proofErr w:type="spellEnd"/>
      <w:r>
        <w:t xml:space="preserve"> ve </w:t>
      </w:r>
      <w:proofErr w:type="spellStart"/>
      <w:r>
        <w:t>Kao</w:t>
      </w:r>
      <w:proofErr w:type="spellEnd"/>
      <w:r>
        <w:t xml:space="preserve"> (2015) siber-fiziksel üretim sistemlerinde fiziksel varlıklar ile siber katman arasındaki veri bağlantısının önemini vurgulamaktadır; bu çalışma bu bağlantıyı laboratuvar ölçeğinde somutlaştırır.</w:t>
      </w:r>
    </w:p>
    <w:p w14:paraId="79EBDA33" w14:textId="77777777" w:rsidR="00FE38C0" w:rsidRDefault="00000000">
      <w:pPr>
        <w:pStyle w:val="GvdeMetni"/>
      </w:pPr>
      <w:r>
        <w:t xml:space="preserve">Öğrenciler açısından ikinci fayda, gerçek üretim verisiyle çalışma deneyimidir. Çalışma kitabındaki tamamlanan ürün kayıtları, OEE </w:t>
      </w:r>
      <w:proofErr w:type="spellStart"/>
      <w:r>
        <w:t>snapshotları</w:t>
      </w:r>
      <w:proofErr w:type="spellEnd"/>
      <w:r>
        <w:t>, iş emirleri ve dijital ikiz senaryoları teorik kavramların ölçülebilir veriyle ilişkilendirilmesini sağlar.</w:t>
      </w:r>
    </w:p>
    <w:p w14:paraId="681ED800" w14:textId="77777777" w:rsidR="00FE38C0" w:rsidRDefault="00000000">
      <w:pPr>
        <w:pStyle w:val="GvdeMetni"/>
      </w:pPr>
      <w:r>
        <w:t xml:space="preserve">Akademiye üçüncü fayda, tekrar edilebilir bir eğitim ve araştırma platformu oluşturulmasıdır. Aynı BOP </w:t>
      </w:r>
      <w:proofErr w:type="spellStart"/>
      <w:r>
        <w:t>workbook</w:t>
      </w:r>
      <w:proofErr w:type="spellEnd"/>
      <w:r>
        <w:t>, farklı ürün varyantları, farklı iş emirleri veya farklı simülasyon senaryolarıyla yeniden kullanılabilir.</w:t>
      </w:r>
    </w:p>
    <w:p w14:paraId="02517369" w14:textId="77777777" w:rsidR="00FE38C0" w:rsidRDefault="00000000">
      <w:pPr>
        <w:pStyle w:val="Balk1"/>
        <w:spacing w:after="120"/>
      </w:pPr>
      <w:r>
        <w:t>6. İlgili Literatür</w:t>
      </w:r>
    </w:p>
    <w:p w14:paraId="09C53CD8" w14:textId="77777777" w:rsidR="00FE38C0" w:rsidRDefault="00000000">
      <w:pPr>
        <w:pStyle w:val="GvdeMetni"/>
      </w:pPr>
      <w:r>
        <w:t>Endüstri 4.0 ve siber-fiziksel sistemler literatürü, üretim sistemlerinin fiziksel varlıklar, yazılım, iletişim protokolleri ve karar destek algoritmalarıyla bütünleşik ele alınması gerektiğini göstermektedir. Hermann vd. (2016), Endüstri 4.0 senaryolarında birlikte çalışabilirlik, sanallaştırma, desantralizasyon, gerçek zamanlı yetenek, hizmet yönelimi ve modülerliği temel ilkeler olarak tanımlar.</w:t>
      </w:r>
    </w:p>
    <w:p w14:paraId="6EBBD8B3" w14:textId="77777777" w:rsidR="00FE38C0" w:rsidRDefault="00000000">
      <w:pPr>
        <w:pStyle w:val="GvdeMetni"/>
      </w:pPr>
      <w:r>
        <w:t xml:space="preserve">Dijital ikiz literatürü, fiziksel sistemin sanal karşılığıyla veri temelli olarak ilişkilendirilmesini ele alır. </w:t>
      </w:r>
      <w:proofErr w:type="spellStart"/>
      <w:r>
        <w:t>Kritzinger</w:t>
      </w:r>
      <w:proofErr w:type="spellEnd"/>
      <w:r>
        <w:t xml:space="preserve"> vd. (2018), imalatta dijital model, dijital gölge ve dijital ikiz kavramlarını entegrasyon düzeylerine göre ayırarak, gerçek dijital ikizin fiziksel ve sanal sistem arasında veri alışverişi gerektirdiğini belirtir. Lu vd. (2020) ise dijital ikiz uygulamalarında referans model, veri yapısı, endüstriyel iletişim ve uygulama metodolojisi gibi konuların araştırma boşluğu oluşturduğunu ortaya koyar.</w:t>
      </w:r>
    </w:p>
    <w:p w14:paraId="37753EA2" w14:textId="77777777" w:rsidR="00FE38C0" w:rsidRDefault="00000000">
      <w:pPr>
        <w:pStyle w:val="GvdeMetni"/>
      </w:pPr>
      <w:r>
        <w:t xml:space="preserve">MES ve ISA-95 literatürü, üretim yürütme sistemlerinin üst seviye işletme planlama sistemleri ile saha otomasyonu arasında köprü rolü üstlendiğini göstermektedir. ISA-95, işletme-kontrol sistemi entegrasyonu için terminoloji, faaliyet modelleri ve katman ayrımı sunar (International </w:t>
      </w:r>
      <w:proofErr w:type="spellStart"/>
      <w:r>
        <w:t>Society</w:t>
      </w:r>
      <w:proofErr w:type="spellEnd"/>
      <w:r>
        <w:t xml:space="preserve"> of </w:t>
      </w:r>
      <w:proofErr w:type="spellStart"/>
      <w:r>
        <w:t>Automation</w:t>
      </w:r>
      <w:proofErr w:type="spellEnd"/>
      <w:r>
        <w:t xml:space="preserve">, </w:t>
      </w:r>
      <w:proofErr w:type="spellStart"/>
      <w:r>
        <w:t>n.d</w:t>
      </w:r>
      <w:proofErr w:type="spellEnd"/>
      <w:r>
        <w:t>.).</w:t>
      </w:r>
    </w:p>
    <w:p w14:paraId="27F0A1E6" w14:textId="77777777" w:rsidR="00FE38C0" w:rsidRDefault="00000000">
      <w:pPr>
        <w:pStyle w:val="GvdeMetni"/>
      </w:pPr>
      <w:r>
        <w:lastRenderedPageBreak/>
        <w:t>BOP ve MBOM literatürü, üretim bilgisinin ne üretilecek ve nasıl üretilecek soruları etrafında yapılandırıldığını gösterir. MBOM ürünün üretim için gerekli malzeme yapısını açıklarken, BOP operasyon sırası, üretim kaynakları, iş talimatları ve proses planını tanımlar.</w:t>
      </w:r>
    </w:p>
    <w:p w14:paraId="557FAE40" w14:textId="77777777" w:rsidR="00FE38C0" w:rsidRDefault="00000000">
      <w:pPr>
        <w:pStyle w:val="GvdeMetni"/>
      </w:pPr>
      <w:r>
        <w:t xml:space="preserve">OEE literatürü, üretim etkinliğini ölçmek için kullanılabilirlik, performans ve kalite bileşenlerini bir araya getirir. Ng </w:t>
      </w:r>
      <w:proofErr w:type="spellStart"/>
      <w:r>
        <w:t>Corrales</w:t>
      </w:r>
      <w:proofErr w:type="spellEnd"/>
      <w:r>
        <w:t xml:space="preserve"> vd. (2020), OEE üzerine yaptıkları sistematik literatür taramasında göstergenin yalnızca bakım veya TPM bağlamında değil, yalın üretim, sürdürülebilirlik, lojistik ve dijital karar destek bağlamlarında da geliştiğini göstermektedir.</w:t>
      </w:r>
    </w:p>
    <w:p w14:paraId="1E4CA1D9" w14:textId="77777777" w:rsidR="00FE38C0" w:rsidRDefault="00000000">
      <w:pPr>
        <w:pStyle w:val="GvdeMetni"/>
      </w:pPr>
      <w:r>
        <w:t xml:space="preserve">MOST literatürü, operasyon sürelerinin sistematik biçimde belirlenmesi ve üretkenlik iyileştirmesi için kullanılabilecek iş ölçümü yöntemlerinden birini sunar. Karim vd. (2016), MOST uygulamasıyla montaj hattı üretkenliğinde önemli iyileşme sağlanabileceğini gösterirken; </w:t>
      </w:r>
      <w:proofErr w:type="spellStart"/>
      <w:r>
        <w:t>Ganorkar</w:t>
      </w:r>
      <w:proofErr w:type="spellEnd"/>
      <w:r>
        <w:t xml:space="preserve"> vd. (2019), </w:t>
      </w:r>
      <w:proofErr w:type="spellStart"/>
      <w:r>
        <w:t>MOST’un</w:t>
      </w:r>
      <w:proofErr w:type="spellEnd"/>
      <w:r>
        <w:t xml:space="preserve"> zaman denklemleri ve zaman sürücülü faaliyet tabanlı maliyetleme için kullanılabileceğini ortaya koymuştur.</w:t>
      </w:r>
    </w:p>
    <w:p w14:paraId="7CE9B814" w14:textId="77777777" w:rsidR="00FE38C0" w:rsidRDefault="00000000">
      <w:pPr>
        <w:pStyle w:val="Balk1"/>
        <w:spacing w:after="120"/>
      </w:pPr>
      <w:r>
        <w:t>7. Hedeflenen Çıktılar</w:t>
      </w:r>
    </w:p>
    <w:p w14:paraId="2D47C496" w14:textId="77777777" w:rsidR="00FE38C0" w:rsidRDefault="00000000">
      <w:pPr>
        <w:pStyle w:val="GvdeMetni"/>
      </w:pPr>
      <w:r>
        <w:t>Çalışmanın birinci hedef çıktısı, BOP tarafını merkeze alan akademik bitirme ara taslağıdır. Bu taslak, problem tanımı, amaç, kapsam, önerilen yöntem, faydalar, literatür, hedeflenen çıktılar ve güncel literatür örneklerini içerecek şekilde oluşturulmuştur.</w:t>
      </w:r>
    </w:p>
    <w:p w14:paraId="354D88EE" w14:textId="77777777" w:rsidR="00FE38C0" w:rsidRDefault="00000000">
      <w:pPr>
        <w:pStyle w:val="GvdeMetni"/>
      </w:pPr>
      <w:r>
        <w:t>İkinci hedef çıktı, BOP-MES entegrasyon haritasıdır. Bu harita, renk bazlı konveyör akışlarının BOP kimliği, rota, stok kodu, sipariş miktarı, vardiya ve dijital ikiz senaryosu ile nasıl bağlandığını gösterir.</w:t>
      </w:r>
    </w:p>
    <w:p w14:paraId="7A8AF583" w14:textId="77777777" w:rsidR="00FE38C0" w:rsidRDefault="00000000">
      <w:pPr>
        <w:pStyle w:val="GvdeMetni"/>
      </w:pPr>
      <w:r>
        <w:t>Üçüncü hedef çıktı, OEE ve arıza değerlendirmesidir. Çalışma kitabındaki OEE özeti, tamamlanan ürün sayısı, inceleme gerektiren ürün sayısı, kayıtlı arıza adedi, ortalama akış süresi ve son OEE bileşenlerini akademik değerlendirmeye taşır.</w:t>
      </w:r>
    </w:p>
    <w:p w14:paraId="3FF9A7BD" w14:textId="77777777" w:rsidR="00FE38C0" w:rsidRDefault="00000000">
      <w:pPr>
        <w:pStyle w:val="GvdeMetni"/>
      </w:pPr>
      <w:r>
        <w:t>Dördüncü hedef çıktı, MOST girdi özetidir. Operasyon bazlı işlem süresi, hazırlık süresi, istasyon ve kritiklik bilgileri BOP operasyon kodlarıyla bağlandığında, iş etüdü verisi yalnızca ayrı bir analiz tablosu olmaktan çıkar ve üretim veri mimarisinin parçası haline gelir.</w:t>
      </w:r>
    </w:p>
    <w:p w14:paraId="67A4CEF5" w14:textId="77777777" w:rsidR="00FE38C0" w:rsidRDefault="00000000">
      <w:pPr>
        <w:pStyle w:val="GvdeMetni"/>
      </w:pPr>
      <w:r>
        <w:t xml:space="preserve">Beşinci hedef çıktı, dijital ikiz senaryo tablosudur. SCN-RED, SCN-YELLOW ve SCN-BLUE senaryoları aynı referans rota, kritik operasyonlar ve kalite kapılarıyla ilişkilendirilerek </w:t>
      </w:r>
      <w:proofErr w:type="spellStart"/>
      <w:r>
        <w:t>FlexSim</w:t>
      </w:r>
      <w:proofErr w:type="spellEnd"/>
      <w:r>
        <w:t xml:space="preserve"> tarafında kullanılabilecek senaryo girdilerine dönüştürülmüştür.</w:t>
      </w:r>
    </w:p>
    <w:p w14:paraId="38A469EA" w14:textId="77777777" w:rsidR="00FE38C0" w:rsidRDefault="00000000">
      <w:pPr>
        <w:pStyle w:val="Balk2"/>
      </w:pPr>
      <w:r>
        <w:lastRenderedPageBreak/>
        <w:t>Tablo 2. OEE ve arıza özeti</w:t>
      </w:r>
    </w:p>
    <w:tbl>
      <w:tblPr>
        <w:tblStyle w:val="TabloKlavuzu"/>
        <w:tblW w:w="0" w:type="auto"/>
        <w:tblInd w:w="5"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CellMar>
          <w:top w:w="0" w:type="dxa"/>
          <w:left w:w="0" w:type="dxa"/>
          <w:bottom w:w="0" w:type="dxa"/>
          <w:right w:w="0" w:type="dxa"/>
        </w:tblCellMar>
        <w:tblLook w:val="04A0" w:firstRow="1" w:lastRow="0" w:firstColumn="1" w:lastColumn="0" w:noHBand="0" w:noVBand="1"/>
      </w:tblPr>
      <w:tblGrid>
        <w:gridCol w:w="2400"/>
        <w:gridCol w:w="2400"/>
        <w:gridCol w:w="2405"/>
      </w:tblGrid>
      <w:tr w:rsidR="00FE38C0" w14:paraId="1AAFAB2C" w14:textId="77777777">
        <w:tblPrEx>
          <w:tblCellMar>
            <w:top w:w="0" w:type="dxa"/>
            <w:left w:w="0" w:type="dxa"/>
            <w:bottom w:w="0" w:type="dxa"/>
            <w:right w:w="0" w:type="dxa"/>
          </w:tblCellMar>
        </w:tblPrEx>
        <w:tc>
          <w:tcPr>
            <w:tcW w:w="2400" w:type="dxa"/>
            <w:shd w:val="clear" w:color="auto" w:fill="D9EAF7"/>
          </w:tcPr>
          <w:p w14:paraId="168018D7" w14:textId="77777777" w:rsidR="00FE38C0" w:rsidRDefault="00000000">
            <w:pPr>
              <w:pStyle w:val="TableText"/>
            </w:pPr>
            <w:proofErr w:type="gramStart"/>
            <w:r>
              <w:rPr>
                <w:b/>
              </w:rPr>
              <w:t>metrik</w:t>
            </w:r>
            <w:proofErr w:type="gramEnd"/>
          </w:p>
        </w:tc>
        <w:tc>
          <w:tcPr>
            <w:tcW w:w="2400" w:type="dxa"/>
            <w:shd w:val="clear" w:color="auto" w:fill="D9EAF7"/>
          </w:tcPr>
          <w:p w14:paraId="4B45B9FC" w14:textId="77777777" w:rsidR="00FE38C0" w:rsidRDefault="00000000">
            <w:pPr>
              <w:pStyle w:val="TableText"/>
            </w:pPr>
            <w:proofErr w:type="spellStart"/>
            <w:proofErr w:type="gramStart"/>
            <w:r>
              <w:rPr>
                <w:b/>
              </w:rPr>
              <w:t>deger</w:t>
            </w:r>
            <w:proofErr w:type="spellEnd"/>
            <w:proofErr w:type="gramEnd"/>
          </w:p>
        </w:tc>
        <w:tc>
          <w:tcPr>
            <w:tcW w:w="2400" w:type="dxa"/>
            <w:shd w:val="clear" w:color="auto" w:fill="D9EAF7"/>
          </w:tcPr>
          <w:p w14:paraId="4CFCD622" w14:textId="77777777" w:rsidR="00FE38C0" w:rsidRDefault="00000000">
            <w:pPr>
              <w:pStyle w:val="TableText"/>
            </w:pPr>
            <w:proofErr w:type="gramStart"/>
            <w:r>
              <w:rPr>
                <w:b/>
              </w:rPr>
              <w:t>yorum</w:t>
            </w:r>
            <w:proofErr w:type="gramEnd"/>
          </w:p>
        </w:tc>
      </w:tr>
      <w:tr w:rsidR="00FE38C0" w14:paraId="142E7FFB" w14:textId="77777777">
        <w:tblPrEx>
          <w:tblCellMar>
            <w:top w:w="0" w:type="dxa"/>
            <w:left w:w="0" w:type="dxa"/>
            <w:bottom w:w="0" w:type="dxa"/>
            <w:right w:w="0" w:type="dxa"/>
          </w:tblCellMar>
        </w:tblPrEx>
        <w:tc>
          <w:tcPr>
            <w:tcW w:w="2400" w:type="dxa"/>
          </w:tcPr>
          <w:p w14:paraId="60468223" w14:textId="77777777" w:rsidR="00FE38C0" w:rsidRDefault="00000000">
            <w:pPr>
              <w:pStyle w:val="TableText"/>
            </w:pPr>
            <w:r>
              <w:t>Toplam tamamlanan urun</w:t>
            </w:r>
          </w:p>
        </w:tc>
        <w:tc>
          <w:tcPr>
            <w:tcW w:w="2400" w:type="dxa"/>
          </w:tcPr>
          <w:p w14:paraId="0BFB59AD" w14:textId="77777777" w:rsidR="00FE38C0" w:rsidRDefault="00000000">
            <w:pPr>
              <w:pStyle w:val="TableText"/>
            </w:pPr>
            <w:r>
              <w:t>24</w:t>
            </w:r>
          </w:p>
        </w:tc>
        <w:tc>
          <w:tcPr>
            <w:tcW w:w="2400" w:type="dxa"/>
          </w:tcPr>
          <w:p w14:paraId="44ABF6F9" w14:textId="77777777" w:rsidR="00FE38C0" w:rsidRDefault="00000000">
            <w:pPr>
              <w:pStyle w:val="TableText"/>
            </w:pPr>
            <w:r>
              <w:t xml:space="preserve">MES </w:t>
            </w:r>
            <w:proofErr w:type="spellStart"/>
            <w:r>
              <w:t>uretim</w:t>
            </w:r>
            <w:proofErr w:type="spellEnd"/>
            <w:r>
              <w:t xml:space="preserve"> tamamlanan </w:t>
            </w:r>
            <w:proofErr w:type="spellStart"/>
            <w:r>
              <w:t>sheetinden</w:t>
            </w:r>
            <w:proofErr w:type="spellEnd"/>
            <w:r>
              <w:t xml:space="preserve"> </w:t>
            </w:r>
            <w:proofErr w:type="spellStart"/>
            <w:r>
              <w:t>alinmistir</w:t>
            </w:r>
            <w:proofErr w:type="spellEnd"/>
            <w:r>
              <w:t>.</w:t>
            </w:r>
          </w:p>
        </w:tc>
      </w:tr>
      <w:tr w:rsidR="00FE38C0" w14:paraId="42EAC6C9" w14:textId="77777777">
        <w:tblPrEx>
          <w:tblCellMar>
            <w:top w:w="0" w:type="dxa"/>
            <w:left w:w="0" w:type="dxa"/>
            <w:bottom w:w="0" w:type="dxa"/>
            <w:right w:w="0" w:type="dxa"/>
          </w:tblCellMar>
        </w:tblPrEx>
        <w:tc>
          <w:tcPr>
            <w:tcW w:w="2400" w:type="dxa"/>
          </w:tcPr>
          <w:p w14:paraId="56F08BA3" w14:textId="77777777" w:rsidR="00FE38C0" w:rsidRDefault="00000000">
            <w:pPr>
              <w:pStyle w:val="TableText"/>
            </w:pPr>
            <w:proofErr w:type="spellStart"/>
            <w:r>
              <w:t>Inceleme</w:t>
            </w:r>
            <w:proofErr w:type="spellEnd"/>
            <w:r>
              <w:t xml:space="preserve"> gerekli urun</w:t>
            </w:r>
          </w:p>
        </w:tc>
        <w:tc>
          <w:tcPr>
            <w:tcW w:w="2400" w:type="dxa"/>
          </w:tcPr>
          <w:p w14:paraId="6529C2AE" w14:textId="77777777" w:rsidR="00FE38C0" w:rsidRDefault="00000000">
            <w:pPr>
              <w:pStyle w:val="TableText"/>
            </w:pPr>
            <w:r>
              <w:t>7</w:t>
            </w:r>
          </w:p>
        </w:tc>
        <w:tc>
          <w:tcPr>
            <w:tcW w:w="2400" w:type="dxa"/>
          </w:tcPr>
          <w:p w14:paraId="0E1E7E95" w14:textId="77777777" w:rsidR="00FE38C0" w:rsidRDefault="00000000">
            <w:pPr>
              <w:pStyle w:val="TableText"/>
            </w:pPr>
            <w:proofErr w:type="spellStart"/>
            <w:r>
              <w:t>Review</w:t>
            </w:r>
            <w:proofErr w:type="spellEnd"/>
            <w:r>
              <w:t xml:space="preserve"> </w:t>
            </w:r>
            <w:proofErr w:type="spellStart"/>
            <w:r>
              <w:t>required</w:t>
            </w:r>
            <w:proofErr w:type="spellEnd"/>
            <w:r>
              <w:t xml:space="preserve"> </w:t>
            </w:r>
            <w:proofErr w:type="spellStart"/>
            <w:r>
              <w:t>alanindan</w:t>
            </w:r>
            <w:proofErr w:type="spellEnd"/>
            <w:r>
              <w:t xml:space="preserve"> </w:t>
            </w:r>
            <w:proofErr w:type="spellStart"/>
            <w:r>
              <w:t>hesaplanmistir</w:t>
            </w:r>
            <w:proofErr w:type="spellEnd"/>
            <w:r>
              <w:t>.</w:t>
            </w:r>
          </w:p>
        </w:tc>
      </w:tr>
      <w:tr w:rsidR="00FE38C0" w14:paraId="6872F8BC" w14:textId="77777777">
        <w:tblPrEx>
          <w:tblCellMar>
            <w:top w:w="0" w:type="dxa"/>
            <w:left w:w="0" w:type="dxa"/>
            <w:bottom w:w="0" w:type="dxa"/>
            <w:right w:w="0" w:type="dxa"/>
          </w:tblCellMar>
        </w:tblPrEx>
        <w:tc>
          <w:tcPr>
            <w:tcW w:w="2400" w:type="dxa"/>
          </w:tcPr>
          <w:p w14:paraId="43D8F0C0" w14:textId="77777777" w:rsidR="00FE38C0" w:rsidRDefault="00000000">
            <w:pPr>
              <w:pStyle w:val="TableText"/>
            </w:pPr>
            <w:proofErr w:type="spellStart"/>
            <w:r>
              <w:t>Kayitli</w:t>
            </w:r>
            <w:proofErr w:type="spellEnd"/>
            <w:r>
              <w:t xml:space="preserve"> ariza adedi</w:t>
            </w:r>
          </w:p>
        </w:tc>
        <w:tc>
          <w:tcPr>
            <w:tcW w:w="2400" w:type="dxa"/>
          </w:tcPr>
          <w:p w14:paraId="7498C685" w14:textId="77777777" w:rsidR="00FE38C0" w:rsidRDefault="00000000">
            <w:pPr>
              <w:pStyle w:val="TableText"/>
            </w:pPr>
            <w:r>
              <w:t>0</w:t>
            </w:r>
          </w:p>
        </w:tc>
        <w:tc>
          <w:tcPr>
            <w:tcW w:w="2400" w:type="dxa"/>
          </w:tcPr>
          <w:p w14:paraId="2404D52E" w14:textId="77777777" w:rsidR="00FE38C0" w:rsidRDefault="00000000">
            <w:pPr>
              <w:pStyle w:val="TableText"/>
            </w:pPr>
            <w:r>
              <w:t xml:space="preserve">3_Arizalar </w:t>
            </w:r>
            <w:proofErr w:type="spellStart"/>
            <w:r>
              <w:t>sheeti</w:t>
            </w:r>
            <w:proofErr w:type="spellEnd"/>
            <w:r>
              <w:t xml:space="preserve"> referans </w:t>
            </w:r>
            <w:proofErr w:type="spellStart"/>
            <w:r>
              <w:t>alinmistir</w:t>
            </w:r>
            <w:proofErr w:type="spellEnd"/>
            <w:r>
              <w:t>.</w:t>
            </w:r>
          </w:p>
        </w:tc>
      </w:tr>
      <w:tr w:rsidR="00FE38C0" w14:paraId="3EAF02D2" w14:textId="77777777">
        <w:tblPrEx>
          <w:tblCellMar>
            <w:top w:w="0" w:type="dxa"/>
            <w:left w:w="0" w:type="dxa"/>
            <w:bottom w:w="0" w:type="dxa"/>
            <w:right w:w="0" w:type="dxa"/>
          </w:tblCellMar>
        </w:tblPrEx>
        <w:tc>
          <w:tcPr>
            <w:tcW w:w="2400" w:type="dxa"/>
          </w:tcPr>
          <w:p w14:paraId="1DBD38E3" w14:textId="77777777" w:rsidR="00FE38C0" w:rsidRDefault="00000000">
            <w:pPr>
              <w:pStyle w:val="TableText"/>
            </w:pPr>
            <w:r>
              <w:t>Ortalama akis suresi (</w:t>
            </w:r>
            <w:proofErr w:type="spellStart"/>
            <w:r>
              <w:t>ms</w:t>
            </w:r>
            <w:proofErr w:type="spellEnd"/>
            <w:r>
              <w:t>)</w:t>
            </w:r>
          </w:p>
        </w:tc>
        <w:tc>
          <w:tcPr>
            <w:tcW w:w="2400" w:type="dxa"/>
          </w:tcPr>
          <w:p w14:paraId="7F3C2837" w14:textId="77777777" w:rsidR="00FE38C0" w:rsidRDefault="00000000">
            <w:pPr>
              <w:pStyle w:val="TableText"/>
            </w:pPr>
            <w:r>
              <w:t>23367.67</w:t>
            </w:r>
          </w:p>
        </w:tc>
        <w:tc>
          <w:tcPr>
            <w:tcW w:w="2400" w:type="dxa"/>
          </w:tcPr>
          <w:p w14:paraId="41DFB852" w14:textId="77777777" w:rsidR="00FE38C0" w:rsidRDefault="00000000">
            <w:pPr>
              <w:pStyle w:val="TableText"/>
            </w:pPr>
            <w:r>
              <w:t xml:space="preserve">4_Uretim_Tamamlanan.flow_ms </w:t>
            </w:r>
            <w:proofErr w:type="spellStart"/>
            <w:r>
              <w:t>ortalamasi</w:t>
            </w:r>
            <w:proofErr w:type="spellEnd"/>
            <w:r>
              <w:t>.</w:t>
            </w:r>
          </w:p>
        </w:tc>
      </w:tr>
      <w:tr w:rsidR="00FE38C0" w14:paraId="0D5E4791" w14:textId="77777777">
        <w:tblPrEx>
          <w:tblCellMar>
            <w:top w:w="0" w:type="dxa"/>
            <w:left w:w="0" w:type="dxa"/>
            <w:bottom w:w="0" w:type="dxa"/>
            <w:right w:w="0" w:type="dxa"/>
          </w:tblCellMar>
        </w:tblPrEx>
        <w:tc>
          <w:tcPr>
            <w:tcW w:w="2400" w:type="dxa"/>
          </w:tcPr>
          <w:p w14:paraId="5B0C14BE" w14:textId="77777777" w:rsidR="00FE38C0" w:rsidRDefault="00000000">
            <w:pPr>
              <w:pStyle w:val="TableText"/>
            </w:pPr>
            <w:r>
              <w:t>Son OEE</w:t>
            </w:r>
          </w:p>
        </w:tc>
        <w:tc>
          <w:tcPr>
            <w:tcW w:w="2400" w:type="dxa"/>
          </w:tcPr>
          <w:p w14:paraId="7984B0C9" w14:textId="77777777" w:rsidR="00FE38C0" w:rsidRDefault="00000000">
            <w:pPr>
              <w:pStyle w:val="TableText"/>
            </w:pPr>
            <w:r>
              <w:t>66.7</w:t>
            </w:r>
          </w:p>
        </w:tc>
        <w:tc>
          <w:tcPr>
            <w:tcW w:w="2400" w:type="dxa"/>
          </w:tcPr>
          <w:p w14:paraId="727F0135" w14:textId="77777777" w:rsidR="00FE38C0" w:rsidRDefault="00000000">
            <w:pPr>
              <w:pStyle w:val="TableText"/>
            </w:pPr>
            <w:r>
              <w:t xml:space="preserve">5_OEE_Anliklari </w:t>
            </w:r>
            <w:proofErr w:type="spellStart"/>
            <w:r>
              <w:t>sheetindeki</w:t>
            </w:r>
            <w:proofErr w:type="spellEnd"/>
            <w:r>
              <w:t xml:space="preserve"> son </w:t>
            </w:r>
            <w:proofErr w:type="spellStart"/>
            <w:r>
              <w:t>snapshot</w:t>
            </w:r>
            <w:proofErr w:type="spellEnd"/>
            <w:r>
              <w:t>.</w:t>
            </w:r>
          </w:p>
        </w:tc>
      </w:tr>
      <w:tr w:rsidR="00FE38C0" w14:paraId="1E881937" w14:textId="77777777">
        <w:tblPrEx>
          <w:tblCellMar>
            <w:top w:w="0" w:type="dxa"/>
            <w:left w:w="0" w:type="dxa"/>
            <w:bottom w:w="0" w:type="dxa"/>
            <w:right w:w="0" w:type="dxa"/>
          </w:tblCellMar>
        </w:tblPrEx>
        <w:tc>
          <w:tcPr>
            <w:tcW w:w="2400" w:type="dxa"/>
          </w:tcPr>
          <w:p w14:paraId="74EC3C25" w14:textId="77777777" w:rsidR="00FE38C0" w:rsidRDefault="00000000">
            <w:pPr>
              <w:pStyle w:val="TableText"/>
            </w:pPr>
            <w:r>
              <w:t xml:space="preserve">Son </w:t>
            </w:r>
            <w:proofErr w:type="spellStart"/>
            <w:r>
              <w:t>Availability</w:t>
            </w:r>
            <w:proofErr w:type="spellEnd"/>
          </w:p>
        </w:tc>
        <w:tc>
          <w:tcPr>
            <w:tcW w:w="2400" w:type="dxa"/>
          </w:tcPr>
          <w:p w14:paraId="25CC59AB" w14:textId="77777777" w:rsidR="00FE38C0" w:rsidRDefault="00000000">
            <w:pPr>
              <w:pStyle w:val="TableText"/>
            </w:pPr>
            <w:r>
              <w:t>100</w:t>
            </w:r>
          </w:p>
        </w:tc>
        <w:tc>
          <w:tcPr>
            <w:tcW w:w="2400" w:type="dxa"/>
          </w:tcPr>
          <w:p w14:paraId="2B98C346" w14:textId="77777777" w:rsidR="00FE38C0" w:rsidRDefault="00000000">
            <w:pPr>
              <w:pStyle w:val="TableText"/>
            </w:pPr>
            <w:proofErr w:type="spellStart"/>
            <w:r>
              <w:t>Canli</w:t>
            </w:r>
            <w:proofErr w:type="spellEnd"/>
            <w:r>
              <w:t xml:space="preserve"> sistem OEE </w:t>
            </w:r>
            <w:proofErr w:type="spellStart"/>
            <w:r>
              <w:t>kaydi</w:t>
            </w:r>
            <w:proofErr w:type="spellEnd"/>
            <w:r>
              <w:t>.</w:t>
            </w:r>
          </w:p>
        </w:tc>
      </w:tr>
      <w:tr w:rsidR="00FE38C0" w14:paraId="74B37157" w14:textId="77777777">
        <w:tblPrEx>
          <w:tblCellMar>
            <w:top w:w="0" w:type="dxa"/>
            <w:left w:w="0" w:type="dxa"/>
            <w:bottom w:w="0" w:type="dxa"/>
            <w:right w:w="0" w:type="dxa"/>
          </w:tblCellMar>
        </w:tblPrEx>
        <w:tc>
          <w:tcPr>
            <w:tcW w:w="2400" w:type="dxa"/>
          </w:tcPr>
          <w:p w14:paraId="663C2314" w14:textId="77777777" w:rsidR="00FE38C0" w:rsidRDefault="00000000">
            <w:pPr>
              <w:pStyle w:val="TableText"/>
            </w:pPr>
            <w:r>
              <w:t xml:space="preserve">Son </w:t>
            </w:r>
            <w:proofErr w:type="spellStart"/>
            <w:r>
              <w:t>Performance</w:t>
            </w:r>
            <w:proofErr w:type="spellEnd"/>
          </w:p>
        </w:tc>
        <w:tc>
          <w:tcPr>
            <w:tcW w:w="2400" w:type="dxa"/>
          </w:tcPr>
          <w:p w14:paraId="2C1A96C6" w14:textId="77777777" w:rsidR="00FE38C0" w:rsidRDefault="00000000">
            <w:pPr>
              <w:pStyle w:val="TableText"/>
            </w:pPr>
            <w:r>
              <w:t>100</w:t>
            </w:r>
          </w:p>
        </w:tc>
        <w:tc>
          <w:tcPr>
            <w:tcW w:w="2400" w:type="dxa"/>
          </w:tcPr>
          <w:p w14:paraId="131701F9" w14:textId="77777777" w:rsidR="00FE38C0" w:rsidRDefault="00000000">
            <w:pPr>
              <w:pStyle w:val="TableText"/>
            </w:pPr>
            <w:proofErr w:type="spellStart"/>
            <w:r>
              <w:t>Canli</w:t>
            </w:r>
            <w:proofErr w:type="spellEnd"/>
            <w:r>
              <w:t xml:space="preserve"> sistem OEE </w:t>
            </w:r>
            <w:proofErr w:type="spellStart"/>
            <w:r>
              <w:t>kaydi</w:t>
            </w:r>
            <w:proofErr w:type="spellEnd"/>
            <w:r>
              <w:t>.</w:t>
            </w:r>
          </w:p>
        </w:tc>
      </w:tr>
      <w:tr w:rsidR="00FE38C0" w14:paraId="2A054285" w14:textId="77777777">
        <w:tblPrEx>
          <w:tblCellMar>
            <w:top w:w="0" w:type="dxa"/>
            <w:left w:w="0" w:type="dxa"/>
            <w:bottom w:w="0" w:type="dxa"/>
            <w:right w:w="0" w:type="dxa"/>
          </w:tblCellMar>
        </w:tblPrEx>
        <w:tc>
          <w:tcPr>
            <w:tcW w:w="2400" w:type="dxa"/>
          </w:tcPr>
          <w:p w14:paraId="2310062D" w14:textId="77777777" w:rsidR="00FE38C0" w:rsidRDefault="00000000">
            <w:pPr>
              <w:pStyle w:val="TableText"/>
            </w:pPr>
            <w:r>
              <w:t xml:space="preserve">Son </w:t>
            </w:r>
            <w:proofErr w:type="spellStart"/>
            <w:r>
              <w:t>Quality</w:t>
            </w:r>
            <w:proofErr w:type="spellEnd"/>
          </w:p>
        </w:tc>
        <w:tc>
          <w:tcPr>
            <w:tcW w:w="2400" w:type="dxa"/>
          </w:tcPr>
          <w:p w14:paraId="38C9B1A8" w14:textId="77777777" w:rsidR="00FE38C0" w:rsidRDefault="00000000">
            <w:pPr>
              <w:pStyle w:val="TableText"/>
            </w:pPr>
            <w:r>
              <w:t>66.7</w:t>
            </w:r>
          </w:p>
        </w:tc>
        <w:tc>
          <w:tcPr>
            <w:tcW w:w="2400" w:type="dxa"/>
          </w:tcPr>
          <w:p w14:paraId="2CB1548C" w14:textId="77777777" w:rsidR="00FE38C0" w:rsidRDefault="00000000">
            <w:pPr>
              <w:pStyle w:val="TableText"/>
            </w:pPr>
            <w:proofErr w:type="spellStart"/>
            <w:r>
              <w:t>Canli</w:t>
            </w:r>
            <w:proofErr w:type="spellEnd"/>
            <w:r>
              <w:t xml:space="preserve"> sistem OEE </w:t>
            </w:r>
            <w:proofErr w:type="spellStart"/>
            <w:r>
              <w:t>kaydi</w:t>
            </w:r>
            <w:proofErr w:type="spellEnd"/>
            <w:r>
              <w:t>.</w:t>
            </w:r>
          </w:p>
        </w:tc>
      </w:tr>
      <w:tr w:rsidR="00FE38C0" w14:paraId="2348B89D" w14:textId="77777777">
        <w:tblPrEx>
          <w:tblCellMar>
            <w:top w:w="0" w:type="dxa"/>
            <w:left w:w="0" w:type="dxa"/>
            <w:bottom w:w="0" w:type="dxa"/>
            <w:right w:w="0" w:type="dxa"/>
          </w:tblCellMar>
        </w:tblPrEx>
        <w:tc>
          <w:tcPr>
            <w:tcW w:w="2400" w:type="dxa"/>
          </w:tcPr>
          <w:p w14:paraId="26D5C2FB" w14:textId="77777777" w:rsidR="00FE38C0" w:rsidRDefault="00000000">
            <w:pPr>
              <w:pStyle w:val="TableText"/>
            </w:pPr>
            <w:r>
              <w:t>BOP referans cevrim suresi (sn)</w:t>
            </w:r>
          </w:p>
        </w:tc>
        <w:tc>
          <w:tcPr>
            <w:tcW w:w="2400" w:type="dxa"/>
          </w:tcPr>
          <w:p w14:paraId="71A5E8C7" w14:textId="77777777" w:rsidR="00FE38C0" w:rsidRDefault="00000000">
            <w:pPr>
              <w:pStyle w:val="TableText"/>
            </w:pPr>
            <w:r>
              <w:t>1052</w:t>
            </w:r>
          </w:p>
        </w:tc>
        <w:tc>
          <w:tcPr>
            <w:tcW w:w="2400" w:type="dxa"/>
          </w:tcPr>
          <w:p w14:paraId="04E01315" w14:textId="77777777" w:rsidR="00FE38C0" w:rsidRDefault="00000000">
            <w:pPr>
              <w:pStyle w:val="TableText"/>
            </w:pPr>
            <w:r>
              <w:t xml:space="preserve">BOP rota operasyon </w:t>
            </w:r>
            <w:proofErr w:type="spellStart"/>
            <w:r>
              <w:t>akisi</w:t>
            </w:r>
            <w:proofErr w:type="spellEnd"/>
            <w:r>
              <w:t xml:space="preserve"> ve zaman </w:t>
            </w:r>
            <w:proofErr w:type="spellStart"/>
            <w:r>
              <w:t>standartlarindan</w:t>
            </w:r>
            <w:proofErr w:type="spellEnd"/>
            <w:r>
              <w:t xml:space="preserve"> </w:t>
            </w:r>
            <w:proofErr w:type="spellStart"/>
            <w:r>
              <w:t>turetilmistir</w:t>
            </w:r>
            <w:proofErr w:type="spellEnd"/>
            <w:r>
              <w:t>.</w:t>
            </w:r>
          </w:p>
        </w:tc>
      </w:tr>
      <w:tr w:rsidR="00FE38C0" w14:paraId="360FE0D8" w14:textId="77777777">
        <w:tblPrEx>
          <w:tblCellMar>
            <w:top w:w="0" w:type="dxa"/>
            <w:left w:w="0" w:type="dxa"/>
            <w:bottom w:w="0" w:type="dxa"/>
            <w:right w:w="0" w:type="dxa"/>
          </w:tblCellMar>
        </w:tblPrEx>
        <w:tc>
          <w:tcPr>
            <w:tcW w:w="2400" w:type="dxa"/>
          </w:tcPr>
          <w:p w14:paraId="37DF2A6A" w14:textId="77777777" w:rsidR="00FE38C0" w:rsidRDefault="00000000">
            <w:pPr>
              <w:pStyle w:val="TableText"/>
            </w:pPr>
            <w:r>
              <w:t xml:space="preserve">Sistem </w:t>
            </w:r>
            <w:proofErr w:type="spellStart"/>
            <w:r>
              <w:t>olgunlugu</w:t>
            </w:r>
            <w:proofErr w:type="spellEnd"/>
            <w:r>
              <w:t xml:space="preserve"> yorumu</w:t>
            </w:r>
          </w:p>
        </w:tc>
        <w:tc>
          <w:tcPr>
            <w:tcW w:w="2400" w:type="dxa"/>
          </w:tcPr>
          <w:p w14:paraId="076AF403" w14:textId="77777777" w:rsidR="00FE38C0" w:rsidRDefault="00000000">
            <w:pPr>
              <w:pStyle w:val="TableText"/>
            </w:pPr>
            <w:proofErr w:type="spellStart"/>
            <w:r>
              <w:t>Canli</w:t>
            </w:r>
            <w:proofErr w:type="spellEnd"/>
            <w:r>
              <w:t xml:space="preserve"> </w:t>
            </w:r>
            <w:proofErr w:type="spellStart"/>
            <w:r>
              <w:t>konveyor</w:t>
            </w:r>
            <w:proofErr w:type="spellEnd"/>
            <w:r>
              <w:t xml:space="preserve"> sistemi OEE ve </w:t>
            </w:r>
            <w:proofErr w:type="spellStart"/>
            <w:r>
              <w:t>fault</w:t>
            </w:r>
            <w:proofErr w:type="spellEnd"/>
            <w:r>
              <w:t xml:space="preserve"> </w:t>
            </w:r>
            <w:proofErr w:type="spellStart"/>
            <w:r>
              <w:t>kayitlari</w:t>
            </w:r>
            <w:proofErr w:type="spellEnd"/>
            <w:r>
              <w:t xml:space="preserve"> </w:t>
            </w:r>
            <w:proofErr w:type="spellStart"/>
            <w:r>
              <w:t>uretebilmekte</w:t>
            </w:r>
            <w:proofErr w:type="spellEnd"/>
            <w:r>
              <w:t xml:space="preserve">; BOP ile </w:t>
            </w:r>
            <w:proofErr w:type="spellStart"/>
            <w:r>
              <w:t>eslestirildiginde</w:t>
            </w:r>
            <w:proofErr w:type="spellEnd"/>
            <w:r>
              <w:t xml:space="preserve"> kurumsal seviyede </w:t>
            </w:r>
            <w:proofErr w:type="spellStart"/>
            <w:r>
              <w:t>surec</w:t>
            </w:r>
            <w:proofErr w:type="spellEnd"/>
            <w:r>
              <w:t xml:space="preserve"> </w:t>
            </w:r>
            <w:proofErr w:type="spellStart"/>
            <w:r>
              <w:t>yonetimine</w:t>
            </w:r>
            <w:proofErr w:type="spellEnd"/>
            <w:r>
              <w:t xml:space="preserve"> </w:t>
            </w:r>
            <w:proofErr w:type="spellStart"/>
            <w:r>
              <w:t>genisleyebilmektedir</w:t>
            </w:r>
            <w:proofErr w:type="spellEnd"/>
            <w:r>
              <w:t>.</w:t>
            </w:r>
          </w:p>
        </w:tc>
        <w:tc>
          <w:tcPr>
            <w:tcW w:w="2400" w:type="dxa"/>
          </w:tcPr>
          <w:p w14:paraId="2D1FBFDA" w14:textId="77777777" w:rsidR="00FE38C0" w:rsidRDefault="00000000">
            <w:pPr>
              <w:pStyle w:val="TableText"/>
            </w:pPr>
            <w:r>
              <w:t xml:space="preserve">Tezde yorum </w:t>
            </w:r>
            <w:proofErr w:type="spellStart"/>
            <w:r>
              <w:t>bolumunde</w:t>
            </w:r>
            <w:proofErr w:type="spellEnd"/>
            <w:r>
              <w:t xml:space="preserve"> </w:t>
            </w:r>
            <w:proofErr w:type="spellStart"/>
            <w:r>
              <w:t>kullanilabilir</w:t>
            </w:r>
            <w:proofErr w:type="spellEnd"/>
            <w:r>
              <w:t>.</w:t>
            </w:r>
          </w:p>
        </w:tc>
      </w:tr>
    </w:tbl>
    <w:p w14:paraId="1A317F5C" w14:textId="77777777" w:rsidR="00FE38C0" w:rsidRDefault="00FE38C0">
      <w:pPr>
        <w:spacing w:after="160"/>
      </w:pPr>
    </w:p>
    <w:p w14:paraId="77EFAB6F" w14:textId="77777777" w:rsidR="00FE38C0" w:rsidRDefault="00000000">
      <w:pPr>
        <w:pStyle w:val="Balk2"/>
      </w:pPr>
      <w:r>
        <w:t>Tablo 3. MOST girdi özeti</w:t>
      </w:r>
    </w:p>
    <w:tbl>
      <w:tblPr>
        <w:tblStyle w:val="TabloKlavuzu"/>
        <w:tblW w:w="0" w:type="auto"/>
        <w:tblInd w:w="5"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CellMar>
          <w:top w:w="0" w:type="dxa"/>
          <w:left w:w="0" w:type="dxa"/>
          <w:bottom w:w="0" w:type="dxa"/>
          <w:right w:w="0" w:type="dxa"/>
        </w:tblCellMar>
        <w:tblLook w:val="04A0" w:firstRow="1" w:lastRow="0" w:firstColumn="1" w:lastColumn="0" w:noHBand="0" w:noVBand="1"/>
      </w:tblPr>
      <w:tblGrid>
        <w:gridCol w:w="1631"/>
        <w:gridCol w:w="1528"/>
        <w:gridCol w:w="1150"/>
        <w:gridCol w:w="1583"/>
        <w:gridCol w:w="1721"/>
        <w:gridCol w:w="1418"/>
      </w:tblGrid>
      <w:tr w:rsidR="00FE38C0" w14:paraId="01A79533" w14:textId="77777777">
        <w:tblPrEx>
          <w:tblCellMar>
            <w:top w:w="0" w:type="dxa"/>
            <w:left w:w="0" w:type="dxa"/>
            <w:bottom w:w="0" w:type="dxa"/>
            <w:right w:w="0" w:type="dxa"/>
          </w:tblCellMar>
        </w:tblPrEx>
        <w:tc>
          <w:tcPr>
            <w:tcW w:w="2400" w:type="dxa"/>
            <w:shd w:val="clear" w:color="auto" w:fill="D9EAF7"/>
          </w:tcPr>
          <w:p w14:paraId="4090B850" w14:textId="77777777" w:rsidR="00FE38C0" w:rsidRDefault="00000000">
            <w:pPr>
              <w:pStyle w:val="TableText"/>
            </w:pPr>
            <w:proofErr w:type="spellStart"/>
            <w:proofErr w:type="gramStart"/>
            <w:r>
              <w:rPr>
                <w:b/>
              </w:rPr>
              <w:t>operasyon</w:t>
            </w:r>
            <w:proofErr w:type="gramEnd"/>
            <w:r>
              <w:rPr>
                <w:b/>
              </w:rPr>
              <w:t>_kodu</w:t>
            </w:r>
            <w:proofErr w:type="spellEnd"/>
          </w:p>
        </w:tc>
        <w:tc>
          <w:tcPr>
            <w:tcW w:w="2400" w:type="dxa"/>
            <w:shd w:val="clear" w:color="auto" w:fill="D9EAF7"/>
          </w:tcPr>
          <w:p w14:paraId="0AFB99A0" w14:textId="77777777" w:rsidR="00FE38C0" w:rsidRDefault="00000000">
            <w:pPr>
              <w:pStyle w:val="TableText"/>
            </w:pPr>
            <w:proofErr w:type="spellStart"/>
            <w:proofErr w:type="gramStart"/>
            <w:r>
              <w:rPr>
                <w:b/>
              </w:rPr>
              <w:t>operasyon</w:t>
            </w:r>
            <w:proofErr w:type="gramEnd"/>
            <w:r>
              <w:rPr>
                <w:b/>
              </w:rPr>
              <w:t>_adi</w:t>
            </w:r>
            <w:proofErr w:type="spellEnd"/>
          </w:p>
        </w:tc>
        <w:tc>
          <w:tcPr>
            <w:tcW w:w="2400" w:type="dxa"/>
            <w:shd w:val="clear" w:color="auto" w:fill="D9EAF7"/>
          </w:tcPr>
          <w:p w14:paraId="71414A51" w14:textId="77777777" w:rsidR="00FE38C0" w:rsidRDefault="00000000">
            <w:pPr>
              <w:pStyle w:val="TableText"/>
            </w:pPr>
            <w:proofErr w:type="gramStart"/>
            <w:r>
              <w:rPr>
                <w:b/>
              </w:rPr>
              <w:t>bolum</w:t>
            </w:r>
            <w:proofErr w:type="gramEnd"/>
          </w:p>
        </w:tc>
        <w:tc>
          <w:tcPr>
            <w:tcW w:w="2400" w:type="dxa"/>
            <w:shd w:val="clear" w:color="auto" w:fill="D9EAF7"/>
          </w:tcPr>
          <w:p w14:paraId="70CCF24B" w14:textId="77777777" w:rsidR="00FE38C0" w:rsidRDefault="00000000">
            <w:pPr>
              <w:pStyle w:val="TableText"/>
            </w:pPr>
            <w:proofErr w:type="spellStart"/>
            <w:proofErr w:type="gramStart"/>
            <w:r>
              <w:rPr>
                <w:b/>
              </w:rPr>
              <w:t>islem</w:t>
            </w:r>
            <w:proofErr w:type="gramEnd"/>
            <w:r>
              <w:rPr>
                <w:b/>
              </w:rPr>
              <w:t>_suresi_sn</w:t>
            </w:r>
            <w:proofErr w:type="spellEnd"/>
          </w:p>
        </w:tc>
        <w:tc>
          <w:tcPr>
            <w:tcW w:w="2400" w:type="dxa"/>
            <w:shd w:val="clear" w:color="auto" w:fill="D9EAF7"/>
          </w:tcPr>
          <w:p w14:paraId="0178249B" w14:textId="77777777" w:rsidR="00FE38C0" w:rsidRDefault="00000000">
            <w:pPr>
              <w:pStyle w:val="TableText"/>
            </w:pPr>
            <w:proofErr w:type="spellStart"/>
            <w:proofErr w:type="gramStart"/>
            <w:r>
              <w:rPr>
                <w:b/>
              </w:rPr>
              <w:t>hazirlik</w:t>
            </w:r>
            <w:proofErr w:type="gramEnd"/>
            <w:r>
              <w:rPr>
                <w:b/>
              </w:rPr>
              <w:t>_suresi_sn</w:t>
            </w:r>
            <w:proofErr w:type="spellEnd"/>
          </w:p>
        </w:tc>
        <w:tc>
          <w:tcPr>
            <w:tcW w:w="2400" w:type="dxa"/>
            <w:shd w:val="clear" w:color="auto" w:fill="D9EAF7"/>
          </w:tcPr>
          <w:p w14:paraId="7920FD6F" w14:textId="77777777" w:rsidR="00FE38C0" w:rsidRDefault="00000000">
            <w:pPr>
              <w:pStyle w:val="TableText"/>
            </w:pPr>
            <w:proofErr w:type="gramStart"/>
            <w:r>
              <w:rPr>
                <w:b/>
              </w:rPr>
              <w:t>kritiklik</w:t>
            </w:r>
            <w:proofErr w:type="gramEnd"/>
          </w:p>
        </w:tc>
      </w:tr>
      <w:tr w:rsidR="00FE38C0" w14:paraId="6A10267C" w14:textId="77777777">
        <w:tblPrEx>
          <w:tblCellMar>
            <w:top w:w="0" w:type="dxa"/>
            <w:left w:w="0" w:type="dxa"/>
            <w:bottom w:w="0" w:type="dxa"/>
            <w:right w:w="0" w:type="dxa"/>
          </w:tblCellMar>
        </w:tblPrEx>
        <w:tc>
          <w:tcPr>
            <w:tcW w:w="2400" w:type="dxa"/>
          </w:tcPr>
          <w:p w14:paraId="15136693" w14:textId="77777777" w:rsidR="00FE38C0" w:rsidRDefault="00000000">
            <w:pPr>
              <w:pStyle w:val="TableText"/>
            </w:pPr>
            <w:r>
              <w:t>OPR-TRN-010</w:t>
            </w:r>
          </w:p>
        </w:tc>
        <w:tc>
          <w:tcPr>
            <w:tcW w:w="2400" w:type="dxa"/>
          </w:tcPr>
          <w:p w14:paraId="2452CCDA" w14:textId="77777777" w:rsidR="00FE38C0" w:rsidRDefault="00000000">
            <w:pPr>
              <w:pStyle w:val="TableText"/>
            </w:pPr>
            <w:r>
              <w:t>Hassas Tornalama</w:t>
            </w:r>
          </w:p>
        </w:tc>
        <w:tc>
          <w:tcPr>
            <w:tcW w:w="2400" w:type="dxa"/>
          </w:tcPr>
          <w:p w14:paraId="1789960F" w14:textId="77777777" w:rsidR="00FE38C0" w:rsidRDefault="00000000">
            <w:pPr>
              <w:pStyle w:val="TableText"/>
            </w:pPr>
            <w:proofErr w:type="spellStart"/>
            <w:r>
              <w:t>Talasli</w:t>
            </w:r>
            <w:proofErr w:type="spellEnd"/>
            <w:r>
              <w:t xml:space="preserve"> </w:t>
            </w:r>
            <w:proofErr w:type="spellStart"/>
            <w:r>
              <w:t>Imalat</w:t>
            </w:r>
            <w:proofErr w:type="spellEnd"/>
          </w:p>
        </w:tc>
        <w:tc>
          <w:tcPr>
            <w:tcW w:w="2400" w:type="dxa"/>
          </w:tcPr>
          <w:p w14:paraId="144E8AE4" w14:textId="77777777" w:rsidR="00FE38C0" w:rsidRDefault="00000000">
            <w:pPr>
              <w:pStyle w:val="TableText"/>
            </w:pPr>
            <w:r>
              <w:t>125</w:t>
            </w:r>
          </w:p>
        </w:tc>
        <w:tc>
          <w:tcPr>
            <w:tcW w:w="2400" w:type="dxa"/>
          </w:tcPr>
          <w:p w14:paraId="243308F6" w14:textId="77777777" w:rsidR="00FE38C0" w:rsidRDefault="00000000">
            <w:pPr>
              <w:pStyle w:val="TableText"/>
            </w:pPr>
            <w:r>
              <w:t>2700</w:t>
            </w:r>
          </w:p>
        </w:tc>
        <w:tc>
          <w:tcPr>
            <w:tcW w:w="2400" w:type="dxa"/>
          </w:tcPr>
          <w:p w14:paraId="54EB8312" w14:textId="77777777" w:rsidR="00FE38C0" w:rsidRDefault="00000000">
            <w:pPr>
              <w:pStyle w:val="TableText"/>
            </w:pPr>
            <w:r>
              <w:t>KRITIK</w:t>
            </w:r>
          </w:p>
        </w:tc>
      </w:tr>
      <w:tr w:rsidR="00FE38C0" w14:paraId="6A42EBBF" w14:textId="77777777">
        <w:tblPrEx>
          <w:tblCellMar>
            <w:top w:w="0" w:type="dxa"/>
            <w:left w:w="0" w:type="dxa"/>
            <w:bottom w:w="0" w:type="dxa"/>
            <w:right w:w="0" w:type="dxa"/>
          </w:tblCellMar>
        </w:tblPrEx>
        <w:tc>
          <w:tcPr>
            <w:tcW w:w="2400" w:type="dxa"/>
          </w:tcPr>
          <w:p w14:paraId="08A15C96" w14:textId="77777777" w:rsidR="00FE38C0" w:rsidRDefault="00000000">
            <w:pPr>
              <w:pStyle w:val="TableText"/>
            </w:pPr>
            <w:r>
              <w:t>OPR-MNT-020</w:t>
            </w:r>
          </w:p>
        </w:tc>
        <w:tc>
          <w:tcPr>
            <w:tcW w:w="2400" w:type="dxa"/>
          </w:tcPr>
          <w:p w14:paraId="31698B6F" w14:textId="77777777" w:rsidR="00FE38C0" w:rsidRDefault="00000000">
            <w:pPr>
              <w:pStyle w:val="TableText"/>
            </w:pPr>
            <w:r>
              <w:t>Ön Montaj Hazırlık</w:t>
            </w:r>
          </w:p>
        </w:tc>
        <w:tc>
          <w:tcPr>
            <w:tcW w:w="2400" w:type="dxa"/>
          </w:tcPr>
          <w:p w14:paraId="3916E9DB" w14:textId="77777777" w:rsidR="00FE38C0" w:rsidRDefault="00000000">
            <w:pPr>
              <w:pStyle w:val="TableText"/>
            </w:pPr>
            <w:r>
              <w:t>Montaj</w:t>
            </w:r>
          </w:p>
        </w:tc>
        <w:tc>
          <w:tcPr>
            <w:tcW w:w="2400" w:type="dxa"/>
          </w:tcPr>
          <w:p w14:paraId="3F1649CE" w14:textId="77777777" w:rsidR="00FE38C0" w:rsidRDefault="00000000">
            <w:pPr>
              <w:pStyle w:val="TableText"/>
            </w:pPr>
            <w:r>
              <w:t>90</w:t>
            </w:r>
          </w:p>
        </w:tc>
        <w:tc>
          <w:tcPr>
            <w:tcW w:w="2400" w:type="dxa"/>
          </w:tcPr>
          <w:p w14:paraId="551A361B" w14:textId="77777777" w:rsidR="00FE38C0" w:rsidRDefault="00000000">
            <w:pPr>
              <w:pStyle w:val="TableText"/>
            </w:pPr>
            <w:r>
              <w:t>0</w:t>
            </w:r>
          </w:p>
        </w:tc>
        <w:tc>
          <w:tcPr>
            <w:tcW w:w="2400" w:type="dxa"/>
          </w:tcPr>
          <w:p w14:paraId="699A9494" w14:textId="77777777" w:rsidR="00FE38C0" w:rsidRDefault="00000000">
            <w:pPr>
              <w:pStyle w:val="TableText"/>
            </w:pPr>
            <w:r>
              <w:t>STANDART</w:t>
            </w:r>
          </w:p>
        </w:tc>
      </w:tr>
      <w:tr w:rsidR="00FE38C0" w14:paraId="18047E23" w14:textId="77777777">
        <w:tblPrEx>
          <w:tblCellMar>
            <w:top w:w="0" w:type="dxa"/>
            <w:left w:w="0" w:type="dxa"/>
            <w:bottom w:w="0" w:type="dxa"/>
            <w:right w:w="0" w:type="dxa"/>
          </w:tblCellMar>
        </w:tblPrEx>
        <w:tc>
          <w:tcPr>
            <w:tcW w:w="2400" w:type="dxa"/>
          </w:tcPr>
          <w:p w14:paraId="245AF380" w14:textId="77777777" w:rsidR="00FE38C0" w:rsidRDefault="00000000">
            <w:pPr>
              <w:pStyle w:val="TableText"/>
            </w:pPr>
            <w:r>
              <w:t>OPR-MNT-021</w:t>
            </w:r>
          </w:p>
        </w:tc>
        <w:tc>
          <w:tcPr>
            <w:tcW w:w="2400" w:type="dxa"/>
          </w:tcPr>
          <w:p w14:paraId="503C4BAB" w14:textId="77777777" w:rsidR="00FE38C0" w:rsidRDefault="00000000">
            <w:pPr>
              <w:pStyle w:val="TableText"/>
            </w:pPr>
            <w:r>
              <w:t>Conta Uygulama</w:t>
            </w:r>
          </w:p>
        </w:tc>
        <w:tc>
          <w:tcPr>
            <w:tcW w:w="2400" w:type="dxa"/>
          </w:tcPr>
          <w:p w14:paraId="342FB49E" w14:textId="77777777" w:rsidR="00FE38C0" w:rsidRDefault="00000000">
            <w:pPr>
              <w:pStyle w:val="TableText"/>
            </w:pPr>
            <w:r>
              <w:t>Montaj</w:t>
            </w:r>
          </w:p>
        </w:tc>
        <w:tc>
          <w:tcPr>
            <w:tcW w:w="2400" w:type="dxa"/>
          </w:tcPr>
          <w:p w14:paraId="2530CE8B" w14:textId="77777777" w:rsidR="00FE38C0" w:rsidRDefault="00000000">
            <w:pPr>
              <w:pStyle w:val="TableText"/>
            </w:pPr>
            <w:r>
              <w:t>162</w:t>
            </w:r>
          </w:p>
        </w:tc>
        <w:tc>
          <w:tcPr>
            <w:tcW w:w="2400" w:type="dxa"/>
          </w:tcPr>
          <w:p w14:paraId="5C70665D" w14:textId="77777777" w:rsidR="00FE38C0" w:rsidRDefault="00000000">
            <w:pPr>
              <w:pStyle w:val="TableText"/>
            </w:pPr>
            <w:r>
              <w:t>0</w:t>
            </w:r>
          </w:p>
        </w:tc>
        <w:tc>
          <w:tcPr>
            <w:tcW w:w="2400" w:type="dxa"/>
          </w:tcPr>
          <w:p w14:paraId="5F13DCA5" w14:textId="77777777" w:rsidR="00FE38C0" w:rsidRDefault="00000000">
            <w:pPr>
              <w:pStyle w:val="TableText"/>
            </w:pPr>
            <w:r>
              <w:t>KRITIK</w:t>
            </w:r>
          </w:p>
        </w:tc>
      </w:tr>
      <w:tr w:rsidR="00FE38C0" w14:paraId="35055BE0" w14:textId="77777777">
        <w:tblPrEx>
          <w:tblCellMar>
            <w:top w:w="0" w:type="dxa"/>
            <w:left w:w="0" w:type="dxa"/>
            <w:bottom w:w="0" w:type="dxa"/>
            <w:right w:w="0" w:type="dxa"/>
          </w:tblCellMar>
        </w:tblPrEx>
        <w:tc>
          <w:tcPr>
            <w:tcW w:w="2400" w:type="dxa"/>
          </w:tcPr>
          <w:p w14:paraId="7F67B02B" w14:textId="77777777" w:rsidR="00FE38C0" w:rsidRDefault="00000000">
            <w:pPr>
              <w:pStyle w:val="TableText"/>
            </w:pPr>
            <w:r>
              <w:t>OPR-MNT-030</w:t>
            </w:r>
          </w:p>
        </w:tc>
        <w:tc>
          <w:tcPr>
            <w:tcW w:w="2400" w:type="dxa"/>
          </w:tcPr>
          <w:p w14:paraId="47DE6F4F" w14:textId="77777777" w:rsidR="00FE38C0" w:rsidRDefault="00000000">
            <w:pPr>
              <w:pStyle w:val="TableText"/>
            </w:pPr>
            <w:r>
              <w:t>Kapak Vidalama</w:t>
            </w:r>
          </w:p>
        </w:tc>
        <w:tc>
          <w:tcPr>
            <w:tcW w:w="2400" w:type="dxa"/>
          </w:tcPr>
          <w:p w14:paraId="3B61161F" w14:textId="77777777" w:rsidR="00FE38C0" w:rsidRDefault="00000000">
            <w:pPr>
              <w:pStyle w:val="TableText"/>
            </w:pPr>
            <w:r>
              <w:t>Montaj</w:t>
            </w:r>
          </w:p>
        </w:tc>
        <w:tc>
          <w:tcPr>
            <w:tcW w:w="2400" w:type="dxa"/>
          </w:tcPr>
          <w:p w14:paraId="169A76BC" w14:textId="77777777" w:rsidR="00FE38C0" w:rsidRDefault="00000000">
            <w:pPr>
              <w:pStyle w:val="TableText"/>
            </w:pPr>
            <w:r>
              <w:t>60</w:t>
            </w:r>
          </w:p>
        </w:tc>
        <w:tc>
          <w:tcPr>
            <w:tcW w:w="2400" w:type="dxa"/>
          </w:tcPr>
          <w:p w14:paraId="3EC9CB1C" w14:textId="77777777" w:rsidR="00FE38C0" w:rsidRDefault="00000000">
            <w:pPr>
              <w:pStyle w:val="TableText"/>
            </w:pPr>
            <w:r>
              <w:t>0</w:t>
            </w:r>
          </w:p>
        </w:tc>
        <w:tc>
          <w:tcPr>
            <w:tcW w:w="2400" w:type="dxa"/>
          </w:tcPr>
          <w:p w14:paraId="5E81CF94" w14:textId="77777777" w:rsidR="00FE38C0" w:rsidRDefault="00000000">
            <w:pPr>
              <w:pStyle w:val="TableText"/>
            </w:pPr>
            <w:r>
              <w:t>ONEMLI</w:t>
            </w:r>
          </w:p>
        </w:tc>
      </w:tr>
      <w:tr w:rsidR="00FE38C0" w14:paraId="2023BAFB" w14:textId="77777777">
        <w:tblPrEx>
          <w:tblCellMar>
            <w:top w:w="0" w:type="dxa"/>
            <w:left w:w="0" w:type="dxa"/>
            <w:bottom w:w="0" w:type="dxa"/>
            <w:right w:w="0" w:type="dxa"/>
          </w:tblCellMar>
        </w:tblPrEx>
        <w:tc>
          <w:tcPr>
            <w:tcW w:w="2400" w:type="dxa"/>
          </w:tcPr>
          <w:p w14:paraId="29A26490" w14:textId="77777777" w:rsidR="00FE38C0" w:rsidRDefault="00000000">
            <w:pPr>
              <w:pStyle w:val="TableText"/>
            </w:pPr>
            <w:r>
              <w:t>OPR-QLT-035</w:t>
            </w:r>
          </w:p>
        </w:tc>
        <w:tc>
          <w:tcPr>
            <w:tcW w:w="2400" w:type="dxa"/>
          </w:tcPr>
          <w:p w14:paraId="55F8A707" w14:textId="77777777" w:rsidR="00FE38C0" w:rsidRDefault="00000000">
            <w:pPr>
              <w:pStyle w:val="TableText"/>
            </w:pPr>
            <w:proofErr w:type="spellStart"/>
            <w:r>
              <w:t>Tork</w:t>
            </w:r>
            <w:proofErr w:type="spellEnd"/>
            <w:r>
              <w:t xml:space="preserve"> Doğrulama</w:t>
            </w:r>
          </w:p>
        </w:tc>
        <w:tc>
          <w:tcPr>
            <w:tcW w:w="2400" w:type="dxa"/>
          </w:tcPr>
          <w:p w14:paraId="3F2C92A8" w14:textId="77777777" w:rsidR="00FE38C0" w:rsidRDefault="00000000">
            <w:pPr>
              <w:pStyle w:val="TableText"/>
            </w:pPr>
            <w:r>
              <w:t>Kalite</w:t>
            </w:r>
          </w:p>
        </w:tc>
        <w:tc>
          <w:tcPr>
            <w:tcW w:w="2400" w:type="dxa"/>
          </w:tcPr>
          <w:p w14:paraId="2C030C14" w14:textId="77777777" w:rsidR="00FE38C0" w:rsidRDefault="00000000">
            <w:pPr>
              <w:pStyle w:val="TableText"/>
            </w:pPr>
            <w:r>
              <w:t>75</w:t>
            </w:r>
          </w:p>
        </w:tc>
        <w:tc>
          <w:tcPr>
            <w:tcW w:w="2400" w:type="dxa"/>
          </w:tcPr>
          <w:p w14:paraId="0BF314F7" w14:textId="77777777" w:rsidR="00FE38C0" w:rsidRDefault="00000000">
            <w:pPr>
              <w:pStyle w:val="TableText"/>
            </w:pPr>
            <w:r>
              <w:t>0</w:t>
            </w:r>
          </w:p>
        </w:tc>
        <w:tc>
          <w:tcPr>
            <w:tcW w:w="2400" w:type="dxa"/>
          </w:tcPr>
          <w:p w14:paraId="0777F5F7" w14:textId="77777777" w:rsidR="00FE38C0" w:rsidRDefault="00000000">
            <w:pPr>
              <w:pStyle w:val="TableText"/>
            </w:pPr>
            <w:r>
              <w:t>KRITIK</w:t>
            </w:r>
          </w:p>
        </w:tc>
      </w:tr>
      <w:tr w:rsidR="00FE38C0" w14:paraId="737AA30E" w14:textId="77777777">
        <w:tblPrEx>
          <w:tblCellMar>
            <w:top w:w="0" w:type="dxa"/>
            <w:left w:w="0" w:type="dxa"/>
            <w:bottom w:w="0" w:type="dxa"/>
            <w:right w:w="0" w:type="dxa"/>
          </w:tblCellMar>
        </w:tblPrEx>
        <w:tc>
          <w:tcPr>
            <w:tcW w:w="2400" w:type="dxa"/>
          </w:tcPr>
          <w:p w14:paraId="15C8F625" w14:textId="77777777" w:rsidR="00FE38C0" w:rsidRDefault="00000000">
            <w:pPr>
              <w:pStyle w:val="TableText"/>
            </w:pPr>
            <w:r>
              <w:t>OPR-QLT-040</w:t>
            </w:r>
          </w:p>
        </w:tc>
        <w:tc>
          <w:tcPr>
            <w:tcW w:w="2400" w:type="dxa"/>
          </w:tcPr>
          <w:p w14:paraId="59979D71" w14:textId="77777777" w:rsidR="00FE38C0" w:rsidRDefault="00000000">
            <w:pPr>
              <w:pStyle w:val="TableText"/>
            </w:pPr>
            <w:r>
              <w:t>Son Kalite Kontrol</w:t>
            </w:r>
          </w:p>
        </w:tc>
        <w:tc>
          <w:tcPr>
            <w:tcW w:w="2400" w:type="dxa"/>
          </w:tcPr>
          <w:p w14:paraId="287FD424" w14:textId="77777777" w:rsidR="00FE38C0" w:rsidRDefault="00000000">
            <w:pPr>
              <w:pStyle w:val="TableText"/>
            </w:pPr>
            <w:r>
              <w:t>Kalite</w:t>
            </w:r>
          </w:p>
        </w:tc>
        <w:tc>
          <w:tcPr>
            <w:tcW w:w="2400" w:type="dxa"/>
          </w:tcPr>
          <w:p w14:paraId="4AFA259F" w14:textId="77777777" w:rsidR="00FE38C0" w:rsidRDefault="00000000">
            <w:pPr>
              <w:pStyle w:val="TableText"/>
            </w:pPr>
            <w:r>
              <w:t>300</w:t>
            </w:r>
          </w:p>
        </w:tc>
        <w:tc>
          <w:tcPr>
            <w:tcW w:w="2400" w:type="dxa"/>
          </w:tcPr>
          <w:p w14:paraId="7982159B" w14:textId="77777777" w:rsidR="00FE38C0" w:rsidRDefault="00000000">
            <w:pPr>
              <w:pStyle w:val="TableText"/>
            </w:pPr>
            <w:r>
              <w:t>0</w:t>
            </w:r>
          </w:p>
        </w:tc>
        <w:tc>
          <w:tcPr>
            <w:tcW w:w="2400" w:type="dxa"/>
          </w:tcPr>
          <w:p w14:paraId="0E83DB24" w14:textId="77777777" w:rsidR="00FE38C0" w:rsidRDefault="00000000">
            <w:pPr>
              <w:pStyle w:val="TableText"/>
            </w:pPr>
            <w:r>
              <w:t>KRITIK</w:t>
            </w:r>
          </w:p>
        </w:tc>
      </w:tr>
      <w:tr w:rsidR="00FE38C0" w14:paraId="316D5CE3" w14:textId="77777777">
        <w:tblPrEx>
          <w:tblCellMar>
            <w:top w:w="0" w:type="dxa"/>
            <w:left w:w="0" w:type="dxa"/>
            <w:bottom w:w="0" w:type="dxa"/>
            <w:right w:w="0" w:type="dxa"/>
          </w:tblCellMar>
        </w:tblPrEx>
        <w:tc>
          <w:tcPr>
            <w:tcW w:w="2400" w:type="dxa"/>
          </w:tcPr>
          <w:p w14:paraId="42CE4C04" w14:textId="77777777" w:rsidR="00FE38C0" w:rsidRDefault="00000000">
            <w:pPr>
              <w:pStyle w:val="TableText"/>
            </w:pPr>
            <w:r>
              <w:t>OPR-RWK-050</w:t>
            </w:r>
          </w:p>
        </w:tc>
        <w:tc>
          <w:tcPr>
            <w:tcW w:w="2400" w:type="dxa"/>
          </w:tcPr>
          <w:p w14:paraId="7F472013" w14:textId="77777777" w:rsidR="00FE38C0" w:rsidRDefault="00000000">
            <w:pPr>
              <w:pStyle w:val="TableText"/>
            </w:pPr>
            <w:proofErr w:type="spellStart"/>
            <w:r>
              <w:t>Rework</w:t>
            </w:r>
            <w:proofErr w:type="spellEnd"/>
            <w:r>
              <w:t xml:space="preserve"> Yeniden Sızdırmazlık</w:t>
            </w:r>
          </w:p>
        </w:tc>
        <w:tc>
          <w:tcPr>
            <w:tcW w:w="2400" w:type="dxa"/>
          </w:tcPr>
          <w:p w14:paraId="66A664F2" w14:textId="77777777" w:rsidR="00FE38C0" w:rsidRDefault="00000000">
            <w:pPr>
              <w:pStyle w:val="TableText"/>
            </w:pPr>
            <w:proofErr w:type="spellStart"/>
            <w:r>
              <w:t>Rework</w:t>
            </w:r>
            <w:proofErr w:type="spellEnd"/>
          </w:p>
        </w:tc>
        <w:tc>
          <w:tcPr>
            <w:tcW w:w="2400" w:type="dxa"/>
          </w:tcPr>
          <w:p w14:paraId="187B956C" w14:textId="77777777" w:rsidR="00FE38C0" w:rsidRDefault="00000000">
            <w:pPr>
              <w:pStyle w:val="TableText"/>
            </w:pPr>
            <w:r>
              <w:t>180</w:t>
            </w:r>
          </w:p>
        </w:tc>
        <w:tc>
          <w:tcPr>
            <w:tcW w:w="2400" w:type="dxa"/>
          </w:tcPr>
          <w:p w14:paraId="58200D3A" w14:textId="77777777" w:rsidR="00FE38C0" w:rsidRDefault="00000000">
            <w:pPr>
              <w:pStyle w:val="TableText"/>
            </w:pPr>
            <w:r>
              <w:t>0</w:t>
            </w:r>
          </w:p>
        </w:tc>
        <w:tc>
          <w:tcPr>
            <w:tcW w:w="2400" w:type="dxa"/>
          </w:tcPr>
          <w:p w14:paraId="60A83E5D" w14:textId="77777777" w:rsidR="00FE38C0" w:rsidRDefault="00000000">
            <w:pPr>
              <w:pStyle w:val="TableText"/>
            </w:pPr>
            <w:r>
              <w:t>KRITIK</w:t>
            </w:r>
          </w:p>
        </w:tc>
      </w:tr>
      <w:tr w:rsidR="00FE38C0" w14:paraId="7950A4EB" w14:textId="77777777">
        <w:tblPrEx>
          <w:tblCellMar>
            <w:top w:w="0" w:type="dxa"/>
            <w:left w:w="0" w:type="dxa"/>
            <w:bottom w:w="0" w:type="dxa"/>
            <w:right w:w="0" w:type="dxa"/>
          </w:tblCellMar>
        </w:tblPrEx>
        <w:tc>
          <w:tcPr>
            <w:tcW w:w="2400" w:type="dxa"/>
          </w:tcPr>
          <w:p w14:paraId="4B9147E8" w14:textId="77777777" w:rsidR="00FE38C0" w:rsidRDefault="00000000">
            <w:pPr>
              <w:pStyle w:val="TableText"/>
            </w:pPr>
            <w:r>
              <w:t>OPR-QLT-060</w:t>
            </w:r>
          </w:p>
        </w:tc>
        <w:tc>
          <w:tcPr>
            <w:tcW w:w="2400" w:type="dxa"/>
          </w:tcPr>
          <w:p w14:paraId="1F806826" w14:textId="77777777" w:rsidR="00FE38C0" w:rsidRDefault="00000000">
            <w:pPr>
              <w:pStyle w:val="TableText"/>
            </w:pPr>
            <w:proofErr w:type="spellStart"/>
            <w:r>
              <w:t>Rework</w:t>
            </w:r>
            <w:proofErr w:type="spellEnd"/>
            <w:r>
              <w:t xml:space="preserve"> Sonrası Kontrol</w:t>
            </w:r>
          </w:p>
        </w:tc>
        <w:tc>
          <w:tcPr>
            <w:tcW w:w="2400" w:type="dxa"/>
          </w:tcPr>
          <w:p w14:paraId="1C283D9E" w14:textId="77777777" w:rsidR="00FE38C0" w:rsidRDefault="00000000">
            <w:pPr>
              <w:pStyle w:val="TableText"/>
            </w:pPr>
            <w:r>
              <w:t>Kalite</w:t>
            </w:r>
          </w:p>
        </w:tc>
        <w:tc>
          <w:tcPr>
            <w:tcW w:w="2400" w:type="dxa"/>
          </w:tcPr>
          <w:p w14:paraId="4ED098A2" w14:textId="77777777" w:rsidR="00FE38C0" w:rsidRDefault="00000000">
            <w:pPr>
              <w:pStyle w:val="TableText"/>
            </w:pPr>
            <w:r>
              <w:t>120</w:t>
            </w:r>
          </w:p>
        </w:tc>
        <w:tc>
          <w:tcPr>
            <w:tcW w:w="2400" w:type="dxa"/>
          </w:tcPr>
          <w:p w14:paraId="337C6E92" w14:textId="77777777" w:rsidR="00FE38C0" w:rsidRDefault="00000000">
            <w:pPr>
              <w:pStyle w:val="TableText"/>
            </w:pPr>
            <w:r>
              <w:t>0</w:t>
            </w:r>
          </w:p>
        </w:tc>
        <w:tc>
          <w:tcPr>
            <w:tcW w:w="2400" w:type="dxa"/>
          </w:tcPr>
          <w:p w14:paraId="47AAAA36" w14:textId="77777777" w:rsidR="00FE38C0" w:rsidRDefault="00000000">
            <w:pPr>
              <w:pStyle w:val="TableText"/>
            </w:pPr>
            <w:r>
              <w:t>KRITIK</w:t>
            </w:r>
          </w:p>
        </w:tc>
      </w:tr>
    </w:tbl>
    <w:p w14:paraId="25D3BA44" w14:textId="77777777" w:rsidR="00FE38C0" w:rsidRDefault="00FE38C0">
      <w:pPr>
        <w:spacing w:after="160"/>
      </w:pPr>
    </w:p>
    <w:p w14:paraId="469D95F3" w14:textId="77777777" w:rsidR="00FE38C0" w:rsidRDefault="00000000">
      <w:pPr>
        <w:pStyle w:val="Balk2"/>
      </w:pPr>
      <w:r>
        <w:lastRenderedPageBreak/>
        <w:t>Tablo 4. Dijital ikiz senaryoları</w:t>
      </w:r>
    </w:p>
    <w:tbl>
      <w:tblPr>
        <w:tblStyle w:val="TabloKlavuzu"/>
        <w:tblW w:w="0" w:type="auto"/>
        <w:tblInd w:w="5"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CellMar>
          <w:top w:w="0" w:type="dxa"/>
          <w:left w:w="0" w:type="dxa"/>
          <w:bottom w:w="0" w:type="dxa"/>
          <w:right w:w="0" w:type="dxa"/>
        </w:tblCellMar>
        <w:tblLook w:val="04A0" w:firstRow="1" w:lastRow="0" w:firstColumn="1" w:lastColumn="0" w:noHBand="0" w:noVBand="1"/>
      </w:tblPr>
      <w:tblGrid>
        <w:gridCol w:w="1310"/>
        <w:gridCol w:w="1048"/>
        <w:gridCol w:w="533"/>
        <w:gridCol w:w="1745"/>
        <w:gridCol w:w="1270"/>
        <w:gridCol w:w="1301"/>
        <w:gridCol w:w="1824"/>
      </w:tblGrid>
      <w:tr w:rsidR="00FE38C0" w14:paraId="34A381A2" w14:textId="77777777">
        <w:tblPrEx>
          <w:tblCellMar>
            <w:top w:w="0" w:type="dxa"/>
            <w:left w:w="0" w:type="dxa"/>
            <w:bottom w:w="0" w:type="dxa"/>
            <w:right w:w="0" w:type="dxa"/>
          </w:tblCellMar>
        </w:tblPrEx>
        <w:tc>
          <w:tcPr>
            <w:tcW w:w="2400" w:type="dxa"/>
            <w:shd w:val="clear" w:color="auto" w:fill="D9EAF7"/>
          </w:tcPr>
          <w:p w14:paraId="268E5D8D" w14:textId="77777777" w:rsidR="00FE38C0" w:rsidRDefault="00000000">
            <w:pPr>
              <w:pStyle w:val="TableText"/>
            </w:pPr>
            <w:proofErr w:type="spellStart"/>
            <w:r>
              <w:rPr>
                <w:b/>
              </w:rPr>
              <w:t>Twin_Senaryo_Kodu</w:t>
            </w:r>
            <w:proofErr w:type="spellEnd"/>
          </w:p>
        </w:tc>
        <w:tc>
          <w:tcPr>
            <w:tcW w:w="2400" w:type="dxa"/>
            <w:shd w:val="clear" w:color="auto" w:fill="D9EAF7"/>
          </w:tcPr>
          <w:p w14:paraId="3EA7AEA2" w14:textId="77777777" w:rsidR="00FE38C0" w:rsidRDefault="00000000">
            <w:pPr>
              <w:pStyle w:val="TableText"/>
            </w:pPr>
            <w:proofErr w:type="spellStart"/>
            <w:r>
              <w:rPr>
                <w:b/>
              </w:rPr>
              <w:t>Mes_Match_Key</w:t>
            </w:r>
            <w:proofErr w:type="spellEnd"/>
          </w:p>
        </w:tc>
        <w:tc>
          <w:tcPr>
            <w:tcW w:w="2400" w:type="dxa"/>
            <w:shd w:val="clear" w:color="auto" w:fill="D9EAF7"/>
          </w:tcPr>
          <w:p w14:paraId="41E35079" w14:textId="77777777" w:rsidR="00FE38C0" w:rsidRDefault="00000000">
            <w:pPr>
              <w:pStyle w:val="TableText"/>
            </w:pPr>
            <w:proofErr w:type="spellStart"/>
            <w:r>
              <w:rPr>
                <w:b/>
              </w:rPr>
              <w:t>Rota_ID</w:t>
            </w:r>
            <w:proofErr w:type="spellEnd"/>
          </w:p>
        </w:tc>
        <w:tc>
          <w:tcPr>
            <w:tcW w:w="2400" w:type="dxa"/>
            <w:shd w:val="clear" w:color="auto" w:fill="D9EAF7"/>
          </w:tcPr>
          <w:p w14:paraId="489300B5" w14:textId="77777777" w:rsidR="00FE38C0" w:rsidRDefault="00000000">
            <w:pPr>
              <w:pStyle w:val="TableText"/>
            </w:pPr>
            <w:proofErr w:type="spellStart"/>
            <w:r>
              <w:rPr>
                <w:b/>
              </w:rPr>
              <w:t>Referans_Cevrim_Suresi_sn</w:t>
            </w:r>
            <w:proofErr w:type="spellEnd"/>
          </w:p>
        </w:tc>
        <w:tc>
          <w:tcPr>
            <w:tcW w:w="2400" w:type="dxa"/>
            <w:shd w:val="clear" w:color="auto" w:fill="D9EAF7"/>
          </w:tcPr>
          <w:p w14:paraId="4A8EF5EC" w14:textId="77777777" w:rsidR="00FE38C0" w:rsidRDefault="00000000">
            <w:pPr>
              <w:pStyle w:val="TableText"/>
            </w:pPr>
            <w:proofErr w:type="spellStart"/>
            <w:r>
              <w:rPr>
                <w:b/>
              </w:rPr>
              <w:t>Toplam_Hazirlik_sn</w:t>
            </w:r>
            <w:proofErr w:type="spellEnd"/>
          </w:p>
        </w:tc>
        <w:tc>
          <w:tcPr>
            <w:tcW w:w="2400" w:type="dxa"/>
            <w:shd w:val="clear" w:color="auto" w:fill="D9EAF7"/>
          </w:tcPr>
          <w:p w14:paraId="697D343A" w14:textId="77777777" w:rsidR="00FE38C0" w:rsidRDefault="00000000">
            <w:pPr>
              <w:pStyle w:val="TableText"/>
            </w:pPr>
            <w:proofErr w:type="spellStart"/>
            <w:r>
              <w:rPr>
                <w:b/>
              </w:rPr>
              <w:t>Kritik_Operasyonlar</w:t>
            </w:r>
            <w:proofErr w:type="spellEnd"/>
          </w:p>
        </w:tc>
        <w:tc>
          <w:tcPr>
            <w:tcW w:w="2400" w:type="dxa"/>
            <w:shd w:val="clear" w:color="auto" w:fill="D9EAF7"/>
          </w:tcPr>
          <w:p w14:paraId="03497894" w14:textId="77777777" w:rsidR="00FE38C0" w:rsidRDefault="00000000">
            <w:pPr>
              <w:pStyle w:val="TableText"/>
            </w:pPr>
            <w:proofErr w:type="spellStart"/>
            <w:r>
              <w:rPr>
                <w:b/>
              </w:rPr>
              <w:t>Dijital_Ikiz_Kullanim_Amaci</w:t>
            </w:r>
            <w:proofErr w:type="spellEnd"/>
          </w:p>
        </w:tc>
      </w:tr>
      <w:tr w:rsidR="00FE38C0" w14:paraId="623B4D31" w14:textId="77777777">
        <w:tblPrEx>
          <w:tblCellMar>
            <w:top w:w="0" w:type="dxa"/>
            <w:left w:w="0" w:type="dxa"/>
            <w:bottom w:w="0" w:type="dxa"/>
            <w:right w:w="0" w:type="dxa"/>
          </w:tblCellMar>
        </w:tblPrEx>
        <w:tc>
          <w:tcPr>
            <w:tcW w:w="2400" w:type="dxa"/>
          </w:tcPr>
          <w:p w14:paraId="7FB102B6" w14:textId="77777777" w:rsidR="00FE38C0" w:rsidRDefault="00000000">
            <w:pPr>
              <w:pStyle w:val="TableText"/>
            </w:pPr>
            <w:r>
              <w:t>SCN-RED</w:t>
            </w:r>
          </w:p>
        </w:tc>
        <w:tc>
          <w:tcPr>
            <w:tcW w:w="2400" w:type="dxa"/>
          </w:tcPr>
          <w:p w14:paraId="44C1EF50" w14:textId="77777777" w:rsidR="00FE38C0" w:rsidRDefault="00000000">
            <w:pPr>
              <w:pStyle w:val="TableText"/>
            </w:pPr>
            <w:proofErr w:type="spellStart"/>
            <w:proofErr w:type="gramStart"/>
            <w:r>
              <w:t>red</w:t>
            </w:r>
            <w:proofErr w:type="spellEnd"/>
            <w:proofErr w:type="gramEnd"/>
          </w:p>
        </w:tc>
        <w:tc>
          <w:tcPr>
            <w:tcW w:w="2400" w:type="dxa"/>
          </w:tcPr>
          <w:p w14:paraId="5F0698D1" w14:textId="77777777" w:rsidR="00FE38C0" w:rsidRDefault="00000000">
            <w:pPr>
              <w:pStyle w:val="TableText"/>
            </w:pPr>
            <w:r>
              <w:t>ROT-000001</w:t>
            </w:r>
          </w:p>
        </w:tc>
        <w:tc>
          <w:tcPr>
            <w:tcW w:w="2400" w:type="dxa"/>
          </w:tcPr>
          <w:p w14:paraId="1B217214" w14:textId="77777777" w:rsidR="00FE38C0" w:rsidRDefault="00000000">
            <w:pPr>
              <w:pStyle w:val="TableText"/>
            </w:pPr>
            <w:r>
              <w:t>1052</w:t>
            </w:r>
          </w:p>
        </w:tc>
        <w:tc>
          <w:tcPr>
            <w:tcW w:w="2400" w:type="dxa"/>
          </w:tcPr>
          <w:p w14:paraId="6D222F2C" w14:textId="77777777" w:rsidR="00FE38C0" w:rsidRDefault="00000000">
            <w:pPr>
              <w:pStyle w:val="TableText"/>
            </w:pPr>
            <w:r>
              <w:t>2700</w:t>
            </w:r>
          </w:p>
        </w:tc>
        <w:tc>
          <w:tcPr>
            <w:tcW w:w="2400" w:type="dxa"/>
          </w:tcPr>
          <w:p w14:paraId="537896E1" w14:textId="77777777" w:rsidR="00FE38C0" w:rsidRDefault="00000000">
            <w:pPr>
              <w:pStyle w:val="TableText"/>
            </w:pPr>
            <w:r>
              <w:t>OPR-TRN-010; OPR-MNT-021; OPR-MNT-030; OPR-QLT-035; OPR-QLT-040; OPR-RWK-050; OPR-QLT-060</w:t>
            </w:r>
          </w:p>
        </w:tc>
        <w:tc>
          <w:tcPr>
            <w:tcW w:w="2400" w:type="dxa"/>
          </w:tcPr>
          <w:p w14:paraId="54412528" w14:textId="77777777" w:rsidR="00FE38C0" w:rsidRDefault="00000000">
            <w:pPr>
              <w:pStyle w:val="TableText"/>
            </w:pPr>
            <w:proofErr w:type="spellStart"/>
            <w:r>
              <w:t>FlexSim</w:t>
            </w:r>
            <w:proofErr w:type="spellEnd"/>
            <w:r>
              <w:t xml:space="preserve"> </w:t>
            </w:r>
            <w:proofErr w:type="spellStart"/>
            <w:r>
              <w:t>tarafinda</w:t>
            </w:r>
            <w:proofErr w:type="spellEnd"/>
            <w:r>
              <w:t xml:space="preserve"> renk </w:t>
            </w:r>
            <w:proofErr w:type="spellStart"/>
            <w:r>
              <w:t>bazli</w:t>
            </w:r>
            <w:proofErr w:type="spellEnd"/>
            <w:r>
              <w:t xml:space="preserve"> urun </w:t>
            </w:r>
            <w:proofErr w:type="spellStart"/>
            <w:r>
              <w:t>akisinin</w:t>
            </w:r>
            <w:proofErr w:type="spellEnd"/>
            <w:r>
              <w:t xml:space="preserve"> BOP </w:t>
            </w:r>
            <w:proofErr w:type="spellStart"/>
            <w:r>
              <w:t>referansli</w:t>
            </w:r>
            <w:proofErr w:type="spellEnd"/>
            <w:r>
              <w:t xml:space="preserve"> rota ve kalite </w:t>
            </w:r>
            <w:proofErr w:type="spellStart"/>
            <w:r>
              <w:t>mantigiyla</w:t>
            </w:r>
            <w:proofErr w:type="spellEnd"/>
            <w:r>
              <w:t xml:space="preserve"> birlikte analiz edilmesi.</w:t>
            </w:r>
          </w:p>
        </w:tc>
      </w:tr>
      <w:tr w:rsidR="00FE38C0" w14:paraId="18C4D8DD" w14:textId="77777777">
        <w:tblPrEx>
          <w:tblCellMar>
            <w:top w:w="0" w:type="dxa"/>
            <w:left w:w="0" w:type="dxa"/>
            <w:bottom w:w="0" w:type="dxa"/>
            <w:right w:w="0" w:type="dxa"/>
          </w:tblCellMar>
        </w:tblPrEx>
        <w:tc>
          <w:tcPr>
            <w:tcW w:w="2400" w:type="dxa"/>
          </w:tcPr>
          <w:p w14:paraId="180D2C97" w14:textId="77777777" w:rsidR="00FE38C0" w:rsidRDefault="00000000">
            <w:pPr>
              <w:pStyle w:val="TableText"/>
            </w:pPr>
            <w:r>
              <w:t>SCN-YELLOW</w:t>
            </w:r>
          </w:p>
        </w:tc>
        <w:tc>
          <w:tcPr>
            <w:tcW w:w="2400" w:type="dxa"/>
          </w:tcPr>
          <w:p w14:paraId="4C7463E3" w14:textId="77777777" w:rsidR="00FE38C0" w:rsidRDefault="00000000">
            <w:pPr>
              <w:pStyle w:val="TableText"/>
            </w:pPr>
            <w:proofErr w:type="spellStart"/>
            <w:proofErr w:type="gramStart"/>
            <w:r>
              <w:t>yellow</w:t>
            </w:r>
            <w:proofErr w:type="spellEnd"/>
            <w:proofErr w:type="gramEnd"/>
          </w:p>
        </w:tc>
        <w:tc>
          <w:tcPr>
            <w:tcW w:w="2400" w:type="dxa"/>
          </w:tcPr>
          <w:p w14:paraId="2828DCCC" w14:textId="77777777" w:rsidR="00FE38C0" w:rsidRDefault="00000000">
            <w:pPr>
              <w:pStyle w:val="TableText"/>
            </w:pPr>
            <w:r>
              <w:t>ROT-000001</w:t>
            </w:r>
          </w:p>
        </w:tc>
        <w:tc>
          <w:tcPr>
            <w:tcW w:w="2400" w:type="dxa"/>
          </w:tcPr>
          <w:p w14:paraId="42AB5613" w14:textId="77777777" w:rsidR="00FE38C0" w:rsidRDefault="00000000">
            <w:pPr>
              <w:pStyle w:val="TableText"/>
            </w:pPr>
            <w:r>
              <w:t>1052</w:t>
            </w:r>
          </w:p>
        </w:tc>
        <w:tc>
          <w:tcPr>
            <w:tcW w:w="2400" w:type="dxa"/>
          </w:tcPr>
          <w:p w14:paraId="4211FA2F" w14:textId="77777777" w:rsidR="00FE38C0" w:rsidRDefault="00000000">
            <w:pPr>
              <w:pStyle w:val="TableText"/>
            </w:pPr>
            <w:r>
              <w:t>2700</w:t>
            </w:r>
          </w:p>
        </w:tc>
        <w:tc>
          <w:tcPr>
            <w:tcW w:w="2400" w:type="dxa"/>
          </w:tcPr>
          <w:p w14:paraId="46B7AA66" w14:textId="77777777" w:rsidR="00FE38C0" w:rsidRDefault="00000000">
            <w:pPr>
              <w:pStyle w:val="TableText"/>
            </w:pPr>
            <w:r>
              <w:t>OPR-TRN-010; OPR-MNT-021; OPR-MNT-030; OPR-QLT-035; OPR-QLT-040; OPR-RWK-050; OPR-QLT-060</w:t>
            </w:r>
          </w:p>
        </w:tc>
        <w:tc>
          <w:tcPr>
            <w:tcW w:w="2400" w:type="dxa"/>
          </w:tcPr>
          <w:p w14:paraId="0F10F648" w14:textId="77777777" w:rsidR="00FE38C0" w:rsidRDefault="00000000">
            <w:pPr>
              <w:pStyle w:val="TableText"/>
            </w:pPr>
            <w:proofErr w:type="spellStart"/>
            <w:r>
              <w:t>FlexSim</w:t>
            </w:r>
            <w:proofErr w:type="spellEnd"/>
            <w:r>
              <w:t xml:space="preserve"> </w:t>
            </w:r>
            <w:proofErr w:type="spellStart"/>
            <w:r>
              <w:t>tarafinda</w:t>
            </w:r>
            <w:proofErr w:type="spellEnd"/>
            <w:r>
              <w:t xml:space="preserve"> renk </w:t>
            </w:r>
            <w:proofErr w:type="spellStart"/>
            <w:r>
              <w:t>bazli</w:t>
            </w:r>
            <w:proofErr w:type="spellEnd"/>
            <w:r>
              <w:t xml:space="preserve"> urun </w:t>
            </w:r>
            <w:proofErr w:type="spellStart"/>
            <w:r>
              <w:t>akisinin</w:t>
            </w:r>
            <w:proofErr w:type="spellEnd"/>
            <w:r>
              <w:t xml:space="preserve"> BOP </w:t>
            </w:r>
            <w:proofErr w:type="spellStart"/>
            <w:r>
              <w:t>referansli</w:t>
            </w:r>
            <w:proofErr w:type="spellEnd"/>
            <w:r>
              <w:t xml:space="preserve"> rota ve kalite </w:t>
            </w:r>
            <w:proofErr w:type="spellStart"/>
            <w:r>
              <w:t>mantigiyla</w:t>
            </w:r>
            <w:proofErr w:type="spellEnd"/>
            <w:r>
              <w:t xml:space="preserve"> birlikte analiz edilmesi.</w:t>
            </w:r>
          </w:p>
        </w:tc>
      </w:tr>
      <w:tr w:rsidR="00FE38C0" w14:paraId="0F0E5EDE" w14:textId="77777777">
        <w:tblPrEx>
          <w:tblCellMar>
            <w:top w:w="0" w:type="dxa"/>
            <w:left w:w="0" w:type="dxa"/>
            <w:bottom w:w="0" w:type="dxa"/>
            <w:right w:w="0" w:type="dxa"/>
          </w:tblCellMar>
        </w:tblPrEx>
        <w:tc>
          <w:tcPr>
            <w:tcW w:w="2400" w:type="dxa"/>
          </w:tcPr>
          <w:p w14:paraId="52C04C4F" w14:textId="77777777" w:rsidR="00FE38C0" w:rsidRDefault="00000000">
            <w:pPr>
              <w:pStyle w:val="TableText"/>
            </w:pPr>
            <w:r>
              <w:t>SCN-BLUE</w:t>
            </w:r>
          </w:p>
        </w:tc>
        <w:tc>
          <w:tcPr>
            <w:tcW w:w="2400" w:type="dxa"/>
          </w:tcPr>
          <w:p w14:paraId="363C4B1E" w14:textId="77777777" w:rsidR="00FE38C0" w:rsidRDefault="00000000">
            <w:pPr>
              <w:pStyle w:val="TableText"/>
            </w:pPr>
            <w:proofErr w:type="spellStart"/>
            <w:proofErr w:type="gramStart"/>
            <w:r>
              <w:t>blue</w:t>
            </w:r>
            <w:proofErr w:type="spellEnd"/>
            <w:proofErr w:type="gramEnd"/>
          </w:p>
        </w:tc>
        <w:tc>
          <w:tcPr>
            <w:tcW w:w="2400" w:type="dxa"/>
          </w:tcPr>
          <w:p w14:paraId="421A7E43" w14:textId="77777777" w:rsidR="00FE38C0" w:rsidRDefault="00000000">
            <w:pPr>
              <w:pStyle w:val="TableText"/>
            </w:pPr>
            <w:r>
              <w:t>ROT-000001</w:t>
            </w:r>
          </w:p>
        </w:tc>
        <w:tc>
          <w:tcPr>
            <w:tcW w:w="2400" w:type="dxa"/>
          </w:tcPr>
          <w:p w14:paraId="0D6AAB4E" w14:textId="77777777" w:rsidR="00FE38C0" w:rsidRDefault="00000000">
            <w:pPr>
              <w:pStyle w:val="TableText"/>
            </w:pPr>
            <w:r>
              <w:t>1052</w:t>
            </w:r>
          </w:p>
        </w:tc>
        <w:tc>
          <w:tcPr>
            <w:tcW w:w="2400" w:type="dxa"/>
          </w:tcPr>
          <w:p w14:paraId="503A9671" w14:textId="77777777" w:rsidR="00FE38C0" w:rsidRDefault="00000000">
            <w:pPr>
              <w:pStyle w:val="TableText"/>
            </w:pPr>
            <w:r>
              <w:t>2700</w:t>
            </w:r>
          </w:p>
        </w:tc>
        <w:tc>
          <w:tcPr>
            <w:tcW w:w="2400" w:type="dxa"/>
          </w:tcPr>
          <w:p w14:paraId="72AA5559" w14:textId="77777777" w:rsidR="00FE38C0" w:rsidRDefault="00000000">
            <w:pPr>
              <w:pStyle w:val="TableText"/>
            </w:pPr>
            <w:r>
              <w:t>OPR-TRN-010; OPR-MNT-021; OPR-MNT-030; OPR-QLT-035; OPR-QLT-040; OPR-RWK-050; OPR-QLT-060</w:t>
            </w:r>
          </w:p>
        </w:tc>
        <w:tc>
          <w:tcPr>
            <w:tcW w:w="2400" w:type="dxa"/>
          </w:tcPr>
          <w:p w14:paraId="0B99318B" w14:textId="77777777" w:rsidR="00FE38C0" w:rsidRDefault="00000000">
            <w:pPr>
              <w:pStyle w:val="TableText"/>
            </w:pPr>
            <w:proofErr w:type="spellStart"/>
            <w:r>
              <w:t>FlexSim</w:t>
            </w:r>
            <w:proofErr w:type="spellEnd"/>
            <w:r>
              <w:t xml:space="preserve"> </w:t>
            </w:r>
            <w:proofErr w:type="spellStart"/>
            <w:r>
              <w:t>tarafinda</w:t>
            </w:r>
            <w:proofErr w:type="spellEnd"/>
            <w:r>
              <w:t xml:space="preserve"> renk </w:t>
            </w:r>
            <w:proofErr w:type="spellStart"/>
            <w:r>
              <w:t>bazli</w:t>
            </w:r>
            <w:proofErr w:type="spellEnd"/>
            <w:r>
              <w:t xml:space="preserve"> urun </w:t>
            </w:r>
            <w:proofErr w:type="spellStart"/>
            <w:r>
              <w:t>akisinin</w:t>
            </w:r>
            <w:proofErr w:type="spellEnd"/>
            <w:r>
              <w:t xml:space="preserve"> BOP </w:t>
            </w:r>
            <w:proofErr w:type="spellStart"/>
            <w:r>
              <w:t>referansli</w:t>
            </w:r>
            <w:proofErr w:type="spellEnd"/>
            <w:r>
              <w:t xml:space="preserve"> rota ve kalite </w:t>
            </w:r>
            <w:proofErr w:type="spellStart"/>
            <w:r>
              <w:t>mantigiyla</w:t>
            </w:r>
            <w:proofErr w:type="spellEnd"/>
            <w:r>
              <w:t xml:space="preserve"> birlikte analiz edilmesi.</w:t>
            </w:r>
          </w:p>
        </w:tc>
      </w:tr>
    </w:tbl>
    <w:p w14:paraId="355A150F" w14:textId="77777777" w:rsidR="00FE38C0" w:rsidRDefault="00FE38C0">
      <w:pPr>
        <w:spacing w:after="160"/>
      </w:pPr>
    </w:p>
    <w:p w14:paraId="5BE6B2F2" w14:textId="77777777" w:rsidR="00FE38C0" w:rsidRDefault="00000000">
      <w:pPr>
        <w:pStyle w:val="Balk2"/>
      </w:pPr>
      <w:r>
        <w:t>Önerilen şekil ve tablo listesi</w:t>
      </w:r>
    </w:p>
    <w:p w14:paraId="3C6BC73B" w14:textId="77777777" w:rsidR="00FE38C0" w:rsidRDefault="00000000">
      <w:pPr>
        <w:pStyle w:val="GvdeMetni"/>
      </w:pPr>
      <w:r>
        <w:t>• Şekil 1: Uçtan uca BOP-MES-OEE-MOST-Dijital İkiz mimarisi.</w:t>
      </w:r>
    </w:p>
    <w:p w14:paraId="0DC6E9B2" w14:textId="77777777" w:rsidR="00FE38C0" w:rsidRDefault="00000000">
      <w:pPr>
        <w:pStyle w:val="GvdeMetni"/>
      </w:pPr>
      <w:r>
        <w:t xml:space="preserve">• Şekil 2: BOP </w:t>
      </w:r>
      <w:proofErr w:type="spellStart"/>
      <w:r>
        <w:t>workbook</w:t>
      </w:r>
      <w:proofErr w:type="spellEnd"/>
      <w:r>
        <w:t xml:space="preserve"> sayfaları ve veri ilişkileri.</w:t>
      </w:r>
    </w:p>
    <w:p w14:paraId="22FFFB2D" w14:textId="77777777" w:rsidR="00FE38C0" w:rsidRDefault="00000000">
      <w:pPr>
        <w:pStyle w:val="GvdeMetni"/>
      </w:pPr>
      <w:r>
        <w:t>• Şekil 3: Konveyör-MES olay akışı ve iş emri eşleştirmesi.</w:t>
      </w:r>
    </w:p>
    <w:p w14:paraId="5153B8F3" w14:textId="77777777" w:rsidR="00FE38C0" w:rsidRDefault="00000000">
      <w:pPr>
        <w:pStyle w:val="GvdeMetni"/>
      </w:pPr>
      <w:r>
        <w:t>• Şekil 4: OEE bileşenleri ve BOP standart zaman ilişkisi.</w:t>
      </w:r>
    </w:p>
    <w:p w14:paraId="13EB26AF" w14:textId="77777777" w:rsidR="00FE38C0" w:rsidRDefault="00000000">
      <w:pPr>
        <w:pStyle w:val="GvdeMetni"/>
      </w:pPr>
      <w:r>
        <w:t xml:space="preserve">• Şekil 5: </w:t>
      </w:r>
      <w:proofErr w:type="spellStart"/>
      <w:r>
        <w:t>FlexSim</w:t>
      </w:r>
      <w:proofErr w:type="spellEnd"/>
      <w:r>
        <w:t xml:space="preserve"> dijital ikiz senaryo akışı.</w:t>
      </w:r>
    </w:p>
    <w:p w14:paraId="3F37CA56" w14:textId="77777777" w:rsidR="00FE38C0" w:rsidRDefault="00000000">
      <w:pPr>
        <w:pStyle w:val="GvdeMetni"/>
      </w:pPr>
      <w:r>
        <w:t>• Tablo 1: BOP-MES entegrasyon haritası.</w:t>
      </w:r>
    </w:p>
    <w:p w14:paraId="5A5A1903" w14:textId="77777777" w:rsidR="00FE38C0" w:rsidRDefault="00000000">
      <w:pPr>
        <w:pStyle w:val="GvdeMetni"/>
      </w:pPr>
      <w:r>
        <w:t>• Tablo 2: OEE ve arıza özeti.</w:t>
      </w:r>
    </w:p>
    <w:p w14:paraId="4D7E64C7" w14:textId="77777777" w:rsidR="00FE38C0" w:rsidRDefault="00000000">
      <w:pPr>
        <w:pStyle w:val="GvdeMetni"/>
      </w:pPr>
      <w:r>
        <w:t>• Tablo 3: MOST operasyon-zaman girdileri.</w:t>
      </w:r>
    </w:p>
    <w:p w14:paraId="04ECF439" w14:textId="77777777" w:rsidR="00FE38C0" w:rsidRDefault="00000000">
      <w:pPr>
        <w:pStyle w:val="GvdeMetni"/>
      </w:pPr>
      <w:r>
        <w:t>• Tablo 4: Dijital ikiz senaryoları.</w:t>
      </w:r>
    </w:p>
    <w:p w14:paraId="1161DE97" w14:textId="77777777" w:rsidR="00FE38C0" w:rsidRDefault="00000000">
      <w:pPr>
        <w:pStyle w:val="Balk1"/>
        <w:spacing w:after="120"/>
      </w:pPr>
      <w:r>
        <w:lastRenderedPageBreak/>
        <w:t>8. Kullanılan Güncel Literatür Örnekleri</w:t>
      </w:r>
    </w:p>
    <w:p w14:paraId="72A4FCF3" w14:textId="77777777" w:rsidR="00FE38C0" w:rsidRDefault="00000000">
      <w:pPr>
        <w:pStyle w:val="GvdeMetni"/>
      </w:pPr>
      <w:r>
        <w:t>Bu bölümde yer alan kaynaklar, çalışmanın farklı boyutlarını destekleyen yüksek etkili veya konu bakımından doğrudan ilgili literatür örnekleridir. Metin içinde doğrulanamayan veya yalnızca öneri niteliğinde görünen makale başlıkları kullanılmamış; bunun yerine DOI, yayıncı sayfası veya kurumsal referansla doğrulanabilen kaynaklara yer verilmiştir.</w:t>
      </w:r>
    </w:p>
    <w:tbl>
      <w:tblPr>
        <w:tblStyle w:val="TabloKlavuzu"/>
        <w:tblW w:w="0" w:type="auto"/>
        <w:tblInd w:w="5"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CellMar>
          <w:top w:w="0" w:type="dxa"/>
          <w:left w:w="0" w:type="dxa"/>
          <w:bottom w:w="0" w:type="dxa"/>
          <w:right w:w="0" w:type="dxa"/>
        </w:tblCellMar>
        <w:tblLook w:val="04A0" w:firstRow="1" w:lastRow="0" w:firstColumn="1" w:lastColumn="0" w:noHBand="0" w:noVBand="1"/>
      </w:tblPr>
      <w:tblGrid>
        <w:gridCol w:w="2400"/>
        <w:gridCol w:w="2400"/>
        <w:gridCol w:w="2400"/>
      </w:tblGrid>
      <w:tr w:rsidR="00FE38C0" w14:paraId="5D20BCE5" w14:textId="77777777">
        <w:tblPrEx>
          <w:tblCellMar>
            <w:top w:w="0" w:type="dxa"/>
            <w:left w:w="0" w:type="dxa"/>
            <w:bottom w:w="0" w:type="dxa"/>
            <w:right w:w="0" w:type="dxa"/>
          </w:tblCellMar>
        </w:tblPrEx>
        <w:tc>
          <w:tcPr>
            <w:tcW w:w="2400" w:type="dxa"/>
            <w:shd w:val="clear" w:color="auto" w:fill="D9EAF7"/>
          </w:tcPr>
          <w:p w14:paraId="3E88FC06" w14:textId="77777777" w:rsidR="00FE38C0" w:rsidRDefault="00000000">
            <w:pPr>
              <w:pStyle w:val="TableText"/>
            </w:pPr>
            <w:r>
              <w:rPr>
                <w:b/>
              </w:rPr>
              <w:t>Konu</w:t>
            </w:r>
          </w:p>
        </w:tc>
        <w:tc>
          <w:tcPr>
            <w:tcW w:w="2400" w:type="dxa"/>
            <w:shd w:val="clear" w:color="auto" w:fill="D9EAF7"/>
          </w:tcPr>
          <w:p w14:paraId="283954DD" w14:textId="77777777" w:rsidR="00FE38C0" w:rsidRDefault="00000000">
            <w:pPr>
              <w:pStyle w:val="TableText"/>
            </w:pPr>
            <w:r>
              <w:rPr>
                <w:b/>
              </w:rPr>
              <w:t>Temel kaynak</w:t>
            </w:r>
          </w:p>
        </w:tc>
        <w:tc>
          <w:tcPr>
            <w:tcW w:w="2400" w:type="dxa"/>
            <w:shd w:val="clear" w:color="auto" w:fill="D9EAF7"/>
          </w:tcPr>
          <w:p w14:paraId="3A795E3A" w14:textId="77777777" w:rsidR="00FE38C0" w:rsidRDefault="00000000">
            <w:pPr>
              <w:pStyle w:val="TableText"/>
            </w:pPr>
            <w:r>
              <w:rPr>
                <w:b/>
              </w:rPr>
              <w:t>Bu çalışmadaki kullanımı</w:t>
            </w:r>
          </w:p>
        </w:tc>
      </w:tr>
      <w:tr w:rsidR="00FE38C0" w14:paraId="5D5916F5" w14:textId="77777777">
        <w:tblPrEx>
          <w:tblCellMar>
            <w:top w:w="0" w:type="dxa"/>
            <w:left w:w="0" w:type="dxa"/>
            <w:bottom w:w="0" w:type="dxa"/>
            <w:right w:w="0" w:type="dxa"/>
          </w:tblCellMar>
        </w:tblPrEx>
        <w:tc>
          <w:tcPr>
            <w:tcW w:w="2400" w:type="dxa"/>
          </w:tcPr>
          <w:p w14:paraId="4BFB97A0" w14:textId="77777777" w:rsidR="00FE38C0" w:rsidRDefault="00000000">
            <w:pPr>
              <w:pStyle w:val="TableText"/>
            </w:pPr>
            <w:r>
              <w:t>Endüstri 4.0</w:t>
            </w:r>
          </w:p>
        </w:tc>
        <w:tc>
          <w:tcPr>
            <w:tcW w:w="2400" w:type="dxa"/>
          </w:tcPr>
          <w:p w14:paraId="0DF4A753" w14:textId="77777777" w:rsidR="00FE38C0" w:rsidRDefault="00000000">
            <w:pPr>
              <w:pStyle w:val="TableText"/>
            </w:pPr>
            <w:r>
              <w:t>Hermann vd. (2016); Lee vd. (2015)</w:t>
            </w:r>
          </w:p>
        </w:tc>
        <w:tc>
          <w:tcPr>
            <w:tcW w:w="2400" w:type="dxa"/>
          </w:tcPr>
          <w:p w14:paraId="7DC3D897" w14:textId="77777777" w:rsidR="00FE38C0" w:rsidRDefault="00000000">
            <w:pPr>
              <w:pStyle w:val="TableText"/>
            </w:pPr>
            <w:r>
              <w:t>Problem tanımı, CPS gereksinimi ve modüler dijital üretim yaklaşımı.</w:t>
            </w:r>
          </w:p>
        </w:tc>
      </w:tr>
      <w:tr w:rsidR="00FE38C0" w14:paraId="0A3B8ED2" w14:textId="77777777">
        <w:tblPrEx>
          <w:tblCellMar>
            <w:top w:w="0" w:type="dxa"/>
            <w:left w:w="0" w:type="dxa"/>
            <w:bottom w:w="0" w:type="dxa"/>
            <w:right w:w="0" w:type="dxa"/>
          </w:tblCellMar>
        </w:tblPrEx>
        <w:tc>
          <w:tcPr>
            <w:tcW w:w="2400" w:type="dxa"/>
          </w:tcPr>
          <w:p w14:paraId="3DD2A9D1" w14:textId="77777777" w:rsidR="00FE38C0" w:rsidRDefault="00000000">
            <w:pPr>
              <w:pStyle w:val="TableText"/>
            </w:pPr>
            <w:r>
              <w:t>Dijital ikiz</w:t>
            </w:r>
          </w:p>
        </w:tc>
        <w:tc>
          <w:tcPr>
            <w:tcW w:w="2400" w:type="dxa"/>
          </w:tcPr>
          <w:p w14:paraId="55C99795" w14:textId="77777777" w:rsidR="00FE38C0" w:rsidRDefault="00000000">
            <w:pPr>
              <w:pStyle w:val="TableText"/>
            </w:pPr>
            <w:proofErr w:type="spellStart"/>
            <w:r>
              <w:t>Kritzinger</w:t>
            </w:r>
            <w:proofErr w:type="spellEnd"/>
            <w:r>
              <w:t xml:space="preserve"> vd. (2018); Lu vd. (2020); </w:t>
            </w:r>
            <w:proofErr w:type="spellStart"/>
            <w:r>
              <w:t>Grieves</w:t>
            </w:r>
            <w:proofErr w:type="spellEnd"/>
            <w:r>
              <w:t xml:space="preserve"> ve </w:t>
            </w:r>
            <w:proofErr w:type="spellStart"/>
            <w:r>
              <w:t>Vickers</w:t>
            </w:r>
            <w:proofErr w:type="spellEnd"/>
            <w:r>
              <w:t xml:space="preserve"> (2017)</w:t>
            </w:r>
          </w:p>
        </w:tc>
        <w:tc>
          <w:tcPr>
            <w:tcW w:w="2400" w:type="dxa"/>
          </w:tcPr>
          <w:p w14:paraId="31C9151C" w14:textId="77777777" w:rsidR="00FE38C0" w:rsidRDefault="00000000">
            <w:pPr>
              <w:pStyle w:val="TableText"/>
            </w:pPr>
            <w:r>
              <w:t>Dijital model/gölge/ikiz ayrımı, referans model ve fiziksel-sanal bağlantı gerekçesi.</w:t>
            </w:r>
          </w:p>
        </w:tc>
      </w:tr>
      <w:tr w:rsidR="00FE38C0" w14:paraId="7855B983" w14:textId="77777777">
        <w:tblPrEx>
          <w:tblCellMar>
            <w:top w:w="0" w:type="dxa"/>
            <w:left w:w="0" w:type="dxa"/>
            <w:bottom w:w="0" w:type="dxa"/>
            <w:right w:w="0" w:type="dxa"/>
          </w:tblCellMar>
        </w:tblPrEx>
        <w:tc>
          <w:tcPr>
            <w:tcW w:w="2400" w:type="dxa"/>
          </w:tcPr>
          <w:p w14:paraId="29E2B1E2" w14:textId="77777777" w:rsidR="00FE38C0" w:rsidRDefault="00000000">
            <w:pPr>
              <w:pStyle w:val="TableText"/>
            </w:pPr>
            <w:r>
              <w:t>MES ve ISA-95</w:t>
            </w:r>
          </w:p>
        </w:tc>
        <w:tc>
          <w:tcPr>
            <w:tcW w:w="2400" w:type="dxa"/>
          </w:tcPr>
          <w:p w14:paraId="78CEE94A" w14:textId="77777777" w:rsidR="00FE38C0" w:rsidRDefault="00000000">
            <w:pPr>
              <w:pStyle w:val="TableText"/>
            </w:pPr>
            <w:r>
              <w:t xml:space="preserve">ISA-95; </w:t>
            </w:r>
            <w:proofErr w:type="spellStart"/>
            <w:r>
              <w:t>Govindaraju</w:t>
            </w:r>
            <w:proofErr w:type="spellEnd"/>
            <w:r>
              <w:t xml:space="preserve"> vd. (2014); </w:t>
            </w:r>
            <w:proofErr w:type="spellStart"/>
            <w:r>
              <w:t>Kletti</w:t>
            </w:r>
            <w:proofErr w:type="spellEnd"/>
            <w:r>
              <w:t xml:space="preserve"> (2007)</w:t>
            </w:r>
          </w:p>
        </w:tc>
        <w:tc>
          <w:tcPr>
            <w:tcW w:w="2400" w:type="dxa"/>
          </w:tcPr>
          <w:p w14:paraId="34D8B2F2" w14:textId="77777777" w:rsidR="00FE38C0" w:rsidRDefault="00000000">
            <w:pPr>
              <w:pStyle w:val="TableText"/>
            </w:pPr>
            <w:r>
              <w:t>BOP tasarım-zamanı verisi ile MES saha-yürütme katmanı arasındaki sınır.</w:t>
            </w:r>
          </w:p>
        </w:tc>
      </w:tr>
      <w:tr w:rsidR="00FE38C0" w14:paraId="66FB3227" w14:textId="77777777">
        <w:tblPrEx>
          <w:tblCellMar>
            <w:top w:w="0" w:type="dxa"/>
            <w:left w:w="0" w:type="dxa"/>
            <w:bottom w:w="0" w:type="dxa"/>
            <w:right w:w="0" w:type="dxa"/>
          </w:tblCellMar>
        </w:tblPrEx>
        <w:tc>
          <w:tcPr>
            <w:tcW w:w="2400" w:type="dxa"/>
          </w:tcPr>
          <w:p w14:paraId="0BBAE15C" w14:textId="77777777" w:rsidR="00FE38C0" w:rsidRDefault="00000000">
            <w:pPr>
              <w:pStyle w:val="TableText"/>
            </w:pPr>
            <w:r>
              <w:t>BOP/MBOM</w:t>
            </w:r>
          </w:p>
        </w:tc>
        <w:tc>
          <w:tcPr>
            <w:tcW w:w="2400" w:type="dxa"/>
          </w:tcPr>
          <w:p w14:paraId="1B64492F" w14:textId="77777777" w:rsidR="00FE38C0" w:rsidRDefault="00000000">
            <w:pPr>
              <w:pStyle w:val="TableText"/>
            </w:pPr>
            <w:r>
              <w:t xml:space="preserve">Siemens </w:t>
            </w:r>
            <w:proofErr w:type="spellStart"/>
            <w:r>
              <w:t>Digital</w:t>
            </w:r>
            <w:proofErr w:type="spellEnd"/>
            <w:r>
              <w:t xml:space="preserve"> </w:t>
            </w:r>
            <w:proofErr w:type="spellStart"/>
            <w:r>
              <w:t>Industries</w:t>
            </w:r>
            <w:proofErr w:type="spellEnd"/>
            <w:r>
              <w:t xml:space="preserve"> Software (</w:t>
            </w:r>
            <w:proofErr w:type="spellStart"/>
            <w:r>
              <w:t>n.d</w:t>
            </w:r>
            <w:proofErr w:type="spellEnd"/>
            <w:r>
              <w:t>.)</w:t>
            </w:r>
          </w:p>
        </w:tc>
        <w:tc>
          <w:tcPr>
            <w:tcW w:w="2400" w:type="dxa"/>
          </w:tcPr>
          <w:p w14:paraId="715863D7" w14:textId="77777777" w:rsidR="00FE38C0" w:rsidRDefault="00000000">
            <w:pPr>
              <w:pStyle w:val="TableText"/>
            </w:pPr>
            <w:proofErr w:type="spellStart"/>
            <w:r>
              <w:t>BOP’un</w:t>
            </w:r>
            <w:proofErr w:type="spellEnd"/>
            <w:r>
              <w:t xml:space="preserve"> </w:t>
            </w:r>
            <w:proofErr w:type="spellStart"/>
            <w:r>
              <w:t>MBOM’u</w:t>
            </w:r>
            <w:proofErr w:type="spellEnd"/>
            <w:r>
              <w:t xml:space="preserve"> tamamlayan ve üretim planını MES/MOM katmanına aktaran yapı olarak tanımlanması.</w:t>
            </w:r>
          </w:p>
        </w:tc>
      </w:tr>
      <w:tr w:rsidR="00FE38C0" w14:paraId="3BFAFF6B" w14:textId="77777777">
        <w:tblPrEx>
          <w:tblCellMar>
            <w:top w:w="0" w:type="dxa"/>
            <w:left w:w="0" w:type="dxa"/>
            <w:bottom w:w="0" w:type="dxa"/>
            <w:right w:w="0" w:type="dxa"/>
          </w:tblCellMar>
        </w:tblPrEx>
        <w:tc>
          <w:tcPr>
            <w:tcW w:w="2400" w:type="dxa"/>
          </w:tcPr>
          <w:p w14:paraId="4DBFF688" w14:textId="77777777" w:rsidR="00FE38C0" w:rsidRDefault="00000000">
            <w:pPr>
              <w:pStyle w:val="TableText"/>
            </w:pPr>
            <w:r>
              <w:t>OEE</w:t>
            </w:r>
          </w:p>
        </w:tc>
        <w:tc>
          <w:tcPr>
            <w:tcW w:w="2400" w:type="dxa"/>
          </w:tcPr>
          <w:p w14:paraId="58619C9E" w14:textId="77777777" w:rsidR="00FE38C0" w:rsidRDefault="00000000">
            <w:pPr>
              <w:pStyle w:val="TableText"/>
            </w:pPr>
            <w:r>
              <w:t xml:space="preserve">Ng </w:t>
            </w:r>
            <w:proofErr w:type="spellStart"/>
            <w:r>
              <w:t>Corrales</w:t>
            </w:r>
            <w:proofErr w:type="spellEnd"/>
            <w:r>
              <w:t xml:space="preserve"> vd. (2020); </w:t>
            </w:r>
            <w:proofErr w:type="spellStart"/>
            <w:r>
              <w:t>Nakajima</w:t>
            </w:r>
            <w:proofErr w:type="spellEnd"/>
            <w:r>
              <w:t xml:space="preserve"> (1988)</w:t>
            </w:r>
          </w:p>
        </w:tc>
        <w:tc>
          <w:tcPr>
            <w:tcW w:w="2400" w:type="dxa"/>
          </w:tcPr>
          <w:p w14:paraId="33C231BD" w14:textId="77777777" w:rsidR="00FE38C0" w:rsidRDefault="00000000">
            <w:pPr>
              <w:pStyle w:val="TableText"/>
            </w:pPr>
            <w:proofErr w:type="spellStart"/>
            <w:r>
              <w:t>Availability</w:t>
            </w:r>
            <w:proofErr w:type="spellEnd"/>
            <w:r>
              <w:t xml:space="preserve">, </w:t>
            </w:r>
            <w:proofErr w:type="spellStart"/>
            <w:r>
              <w:t>Performance</w:t>
            </w:r>
            <w:proofErr w:type="spellEnd"/>
            <w:r>
              <w:t xml:space="preserve">, </w:t>
            </w:r>
            <w:proofErr w:type="spellStart"/>
            <w:r>
              <w:t>Quality</w:t>
            </w:r>
            <w:proofErr w:type="spellEnd"/>
            <w:r>
              <w:t xml:space="preserve"> bileşenleri ve üretim etkinliği ölçümünün akademik temeli.</w:t>
            </w:r>
          </w:p>
        </w:tc>
      </w:tr>
      <w:tr w:rsidR="00FE38C0" w14:paraId="0E3EF65A" w14:textId="77777777">
        <w:tblPrEx>
          <w:tblCellMar>
            <w:top w:w="0" w:type="dxa"/>
            <w:left w:w="0" w:type="dxa"/>
            <w:bottom w:w="0" w:type="dxa"/>
            <w:right w:w="0" w:type="dxa"/>
          </w:tblCellMar>
        </w:tblPrEx>
        <w:tc>
          <w:tcPr>
            <w:tcW w:w="2400" w:type="dxa"/>
          </w:tcPr>
          <w:p w14:paraId="27258AF5" w14:textId="77777777" w:rsidR="00FE38C0" w:rsidRDefault="00000000">
            <w:pPr>
              <w:pStyle w:val="TableText"/>
            </w:pPr>
            <w:r>
              <w:t>MOST</w:t>
            </w:r>
          </w:p>
        </w:tc>
        <w:tc>
          <w:tcPr>
            <w:tcW w:w="2400" w:type="dxa"/>
          </w:tcPr>
          <w:p w14:paraId="66509FBC" w14:textId="77777777" w:rsidR="00FE38C0" w:rsidRDefault="00000000">
            <w:pPr>
              <w:pStyle w:val="TableText"/>
            </w:pPr>
            <w:r>
              <w:t xml:space="preserve">Karim vd. (2016); </w:t>
            </w:r>
            <w:proofErr w:type="spellStart"/>
            <w:r>
              <w:t>Ganorkar</w:t>
            </w:r>
            <w:proofErr w:type="spellEnd"/>
            <w:r>
              <w:t xml:space="preserve"> vd. (2019)</w:t>
            </w:r>
          </w:p>
        </w:tc>
        <w:tc>
          <w:tcPr>
            <w:tcW w:w="2400" w:type="dxa"/>
          </w:tcPr>
          <w:p w14:paraId="3E0CDB1E" w14:textId="77777777" w:rsidR="00FE38C0" w:rsidRDefault="00000000">
            <w:pPr>
              <w:pStyle w:val="TableText"/>
            </w:pPr>
            <w:r>
              <w:t>Standart zaman, iş ölçümü, darboğaz ve üretkenlik iyileştirme yaklaşımı.</w:t>
            </w:r>
          </w:p>
        </w:tc>
      </w:tr>
    </w:tbl>
    <w:p w14:paraId="207D961E" w14:textId="77777777" w:rsidR="00FE38C0" w:rsidRDefault="00FE38C0">
      <w:pPr>
        <w:spacing w:after="160"/>
      </w:pPr>
    </w:p>
    <w:p w14:paraId="0CF4B1F3" w14:textId="77777777" w:rsidR="00FE38C0" w:rsidRDefault="00000000">
      <w:pPr>
        <w:pStyle w:val="Balk1"/>
        <w:spacing w:after="120"/>
      </w:pPr>
      <w:r>
        <w:t>Sonuç Niteliğinde Ara Değerlendirme</w:t>
      </w:r>
    </w:p>
    <w:p w14:paraId="225B81D5" w14:textId="77777777" w:rsidR="00FE38C0" w:rsidRDefault="00000000">
      <w:pPr>
        <w:pStyle w:val="GvdeMetni"/>
      </w:pPr>
      <w:r>
        <w:t xml:space="preserve">Bu ara taslak, BOP tarafındaki çalışmanın bitirme projesinin merkezi omurgası olduğunu göstermektedir. Geliştirilen yapı, ürün ve süreç bilgisini canlı üretim olaylarıyla ilişkilendirerek </w:t>
      </w:r>
      <w:proofErr w:type="spellStart"/>
      <w:r>
        <w:t>BOP’un</w:t>
      </w:r>
      <w:proofErr w:type="spellEnd"/>
      <w:r>
        <w:t xml:space="preserve"> kurumsal üretim verisi üretme kapasitesini ortaya koyar.</w:t>
      </w:r>
    </w:p>
    <w:p w14:paraId="2B9097F4" w14:textId="77777777" w:rsidR="00FE38C0" w:rsidRDefault="00000000">
      <w:pPr>
        <w:pStyle w:val="GvdeMetni"/>
      </w:pPr>
      <w:r>
        <w:t xml:space="preserve">Çalışmanın en önemli sınırlılığı, deneysel veri setinin laboratuvar ölçeğinde ve sınırlı üretim adediyle oluşmasıdır. Bu nedenle mevcut bulgular, tam ölçekli fabrika performansını temsil etmez. Ancak tasarlanan BOP-MES entegrasyon mantığı, küçük bir prototip üzerinde </w:t>
      </w:r>
      <w:r>
        <w:lastRenderedPageBreak/>
        <w:t>dahi süreç bilgisinin nasıl standardize edilebileceğini göstermesi bakımından güçlü bir akademik katkı sunmaktadır.</w:t>
      </w:r>
    </w:p>
    <w:p w14:paraId="652241BB" w14:textId="77777777" w:rsidR="00FE38C0" w:rsidRDefault="00000000">
      <w:pPr>
        <w:pStyle w:val="GvdeMetni"/>
      </w:pPr>
      <w:r>
        <w:t xml:space="preserve">Gelecek çalışmalarda daha uzun süreli üretim testleri, kontrollü arıza senaryoları, kalite </w:t>
      </w:r>
      <w:proofErr w:type="spellStart"/>
      <w:r>
        <w:t>override</w:t>
      </w:r>
      <w:proofErr w:type="spellEnd"/>
      <w:r>
        <w:t xml:space="preserve"> mekanizmasının tamamlanması, alternatif rota ve varyant kurallarının artırılması, CAD-BOP mühendislik değişiklik yönetimi ve ticari PLM/MES sistemleriyle entegrasyon olanakları incelenmelidir.</w:t>
      </w:r>
    </w:p>
    <w:p w14:paraId="6E4097D2" w14:textId="77777777" w:rsidR="00FE38C0" w:rsidRDefault="00000000">
      <w:pPr>
        <w:pStyle w:val="Balk1"/>
        <w:spacing w:after="120"/>
      </w:pPr>
      <w:r>
        <w:t>Proje İçi Kaynak Dosyalar</w:t>
      </w:r>
    </w:p>
    <w:p w14:paraId="3F0D3AEA" w14:textId="77777777" w:rsidR="00FE38C0" w:rsidRDefault="00000000">
      <w:pPr>
        <w:pStyle w:val="GvdeMetni"/>
      </w:pPr>
      <w:r>
        <w:t xml:space="preserve">• </w:t>
      </w:r>
      <w:proofErr w:type="gramStart"/>
      <w:r>
        <w:t>BOP_Tarafi_Akademik_Bitirme_Metni.docx -</w:t>
      </w:r>
      <w:proofErr w:type="gramEnd"/>
      <w:r>
        <w:t xml:space="preserve"> BOP tarafında geliştirilen akademik anlatım ve temel proje omurgası.</w:t>
      </w:r>
    </w:p>
    <w:p w14:paraId="799A04F0" w14:textId="77777777" w:rsidR="00FE38C0" w:rsidRDefault="00000000">
      <w:pPr>
        <w:pStyle w:val="GvdeMetni"/>
      </w:pPr>
      <w:r>
        <w:t xml:space="preserve">• </w:t>
      </w:r>
      <w:proofErr w:type="gramStart"/>
      <w:r>
        <w:t>Entegre_BOP_MES_Konveyor_Calisma_Kitabi.xlsx -</w:t>
      </w:r>
      <w:proofErr w:type="gramEnd"/>
      <w:r>
        <w:t xml:space="preserve"> BOP-MES entegrasyon haritası, iş emirleri, üretim izlenebilirliği, OEE/</w:t>
      </w:r>
      <w:proofErr w:type="spellStart"/>
      <w:r>
        <w:t>fault</w:t>
      </w:r>
      <w:proofErr w:type="spellEnd"/>
      <w:r>
        <w:t xml:space="preserve"> özeti, kalite kontrol entegrasyonu, dijital ikiz senaryoları ve MOST girdi özeti.</w:t>
      </w:r>
    </w:p>
    <w:p w14:paraId="24BC548A" w14:textId="77777777" w:rsidR="00FE38C0" w:rsidRDefault="00000000">
      <w:pPr>
        <w:pStyle w:val="GvdeMetni"/>
      </w:pPr>
      <w:r>
        <w:t xml:space="preserve">• </w:t>
      </w:r>
      <w:proofErr w:type="gramStart"/>
      <w:r>
        <w:t>Entegre_Bitirme_Tez_Dolu_Taslak.docx -</w:t>
      </w:r>
      <w:proofErr w:type="gramEnd"/>
      <w:r>
        <w:t xml:space="preserve"> Önceki bütünleşik tez taslağı ve bölümleme referansı.</w:t>
      </w:r>
    </w:p>
    <w:p w14:paraId="6803F498" w14:textId="77777777" w:rsidR="00FE38C0" w:rsidRDefault="00000000">
      <w:pPr>
        <w:pStyle w:val="GvdeMetni"/>
      </w:pPr>
      <w:r>
        <w:t xml:space="preserve">• </w:t>
      </w:r>
      <w:proofErr w:type="gramStart"/>
      <w:r>
        <w:t>Entegre_Bitirme_Tez_Iskeleti.docx -</w:t>
      </w:r>
      <w:proofErr w:type="gramEnd"/>
      <w:r>
        <w:t xml:space="preserve"> Tez iskeleti, kapsam ve şekil/tablo önerileri referansı.</w:t>
      </w:r>
    </w:p>
    <w:p w14:paraId="7ACB497A" w14:textId="77777777" w:rsidR="00FE38C0" w:rsidRDefault="00000000">
      <w:pPr>
        <w:pStyle w:val="Balk1"/>
        <w:spacing w:after="120"/>
      </w:pPr>
      <w:r>
        <w:t>Kaynakça</w:t>
      </w:r>
    </w:p>
    <w:p w14:paraId="63CEBA7D" w14:textId="77777777" w:rsidR="00FE38C0" w:rsidRDefault="00000000">
      <w:pPr>
        <w:pStyle w:val="Reference"/>
      </w:pPr>
      <w:proofErr w:type="spellStart"/>
      <w:r>
        <w:t>Ganorkar</w:t>
      </w:r>
      <w:proofErr w:type="spellEnd"/>
      <w:r>
        <w:t xml:space="preserve">, A. B., </w:t>
      </w:r>
      <w:proofErr w:type="spellStart"/>
      <w:r>
        <w:t>Lakhe</w:t>
      </w:r>
      <w:proofErr w:type="spellEnd"/>
      <w:r>
        <w:t xml:space="preserve">, R. R., &amp; </w:t>
      </w:r>
      <w:proofErr w:type="spellStart"/>
      <w:r>
        <w:t>Agrawal</w:t>
      </w:r>
      <w:proofErr w:type="spellEnd"/>
      <w:r>
        <w:t xml:space="preserve">, K. N. (2019). </w:t>
      </w:r>
      <w:proofErr w:type="spellStart"/>
      <w:r>
        <w:t>Methodology</w:t>
      </w:r>
      <w:proofErr w:type="spellEnd"/>
      <w:r>
        <w:t xml:space="preserve"> </w:t>
      </w:r>
      <w:proofErr w:type="spellStart"/>
      <w:r>
        <w:t>for</w:t>
      </w:r>
      <w:proofErr w:type="spellEnd"/>
      <w:r>
        <w:t xml:space="preserve"> </w:t>
      </w:r>
      <w:proofErr w:type="spellStart"/>
      <w:r>
        <w:t>application</w:t>
      </w:r>
      <w:proofErr w:type="spellEnd"/>
      <w:r>
        <w:t xml:space="preserve"> of Maynard </w:t>
      </w:r>
      <w:proofErr w:type="spellStart"/>
      <w:r>
        <w:t>Operation</w:t>
      </w:r>
      <w:proofErr w:type="spellEnd"/>
      <w:r>
        <w:t xml:space="preserve"> </w:t>
      </w:r>
      <w:proofErr w:type="spellStart"/>
      <w:r>
        <w:t>Sequence</w:t>
      </w:r>
      <w:proofErr w:type="spellEnd"/>
      <w:r>
        <w:t xml:space="preserve"> </w:t>
      </w:r>
      <w:proofErr w:type="spellStart"/>
      <w:r>
        <w:t>Technique</w:t>
      </w:r>
      <w:proofErr w:type="spellEnd"/>
      <w:r>
        <w:t xml:space="preserve"> (MOST) </w:t>
      </w:r>
      <w:proofErr w:type="spellStart"/>
      <w:r>
        <w:t>for</w:t>
      </w:r>
      <w:proofErr w:type="spellEnd"/>
      <w:r>
        <w:t xml:space="preserve"> time-</w:t>
      </w:r>
      <w:proofErr w:type="spellStart"/>
      <w:r>
        <w:t>driven</w:t>
      </w:r>
      <w:proofErr w:type="spellEnd"/>
      <w:r>
        <w:t xml:space="preserve"> </w:t>
      </w:r>
      <w:proofErr w:type="spellStart"/>
      <w:r>
        <w:t>activity-based</w:t>
      </w:r>
      <w:proofErr w:type="spellEnd"/>
      <w:r>
        <w:t xml:space="preserve"> </w:t>
      </w:r>
      <w:proofErr w:type="spellStart"/>
      <w:r>
        <w:t>costing</w:t>
      </w:r>
      <w:proofErr w:type="spellEnd"/>
      <w:r>
        <w:t xml:space="preserve"> (TDABC). International </w:t>
      </w:r>
      <w:proofErr w:type="spellStart"/>
      <w:r>
        <w:t>Journal</w:t>
      </w:r>
      <w:proofErr w:type="spellEnd"/>
      <w:r>
        <w:t xml:space="preserve"> of Productivity </w:t>
      </w:r>
      <w:proofErr w:type="spellStart"/>
      <w:r>
        <w:t>and</w:t>
      </w:r>
      <w:proofErr w:type="spellEnd"/>
      <w:r>
        <w:t xml:space="preserve"> </w:t>
      </w:r>
      <w:proofErr w:type="spellStart"/>
      <w:r>
        <w:t>Performance</w:t>
      </w:r>
      <w:proofErr w:type="spellEnd"/>
      <w:r>
        <w:t xml:space="preserve"> Management, 68(1), 2-25. https://doi.org/10.1108/IJPPM-06-2017-0156</w:t>
      </w:r>
    </w:p>
    <w:p w14:paraId="0CD54047" w14:textId="77777777" w:rsidR="00FE38C0" w:rsidRDefault="00000000">
      <w:pPr>
        <w:pStyle w:val="Reference"/>
      </w:pPr>
      <w:proofErr w:type="spellStart"/>
      <w:r>
        <w:t>Govindaraju</w:t>
      </w:r>
      <w:proofErr w:type="spellEnd"/>
      <w:r>
        <w:t xml:space="preserve">, R., </w:t>
      </w:r>
      <w:proofErr w:type="spellStart"/>
      <w:r>
        <w:t>Lukman</w:t>
      </w:r>
      <w:proofErr w:type="spellEnd"/>
      <w:r>
        <w:t xml:space="preserve">, K., &amp; </w:t>
      </w:r>
      <w:proofErr w:type="spellStart"/>
      <w:r>
        <w:t>Chandra</w:t>
      </w:r>
      <w:proofErr w:type="spellEnd"/>
      <w:r>
        <w:t xml:space="preserve">, D. R. (2014). </w:t>
      </w:r>
      <w:proofErr w:type="spellStart"/>
      <w:r>
        <w:t>Manufacturing</w:t>
      </w:r>
      <w:proofErr w:type="spellEnd"/>
      <w:r>
        <w:t xml:space="preserve"> </w:t>
      </w:r>
      <w:proofErr w:type="spellStart"/>
      <w:r>
        <w:t>Execution</w:t>
      </w:r>
      <w:proofErr w:type="spellEnd"/>
      <w:r>
        <w:t xml:space="preserve"> </w:t>
      </w:r>
      <w:proofErr w:type="spellStart"/>
      <w:r>
        <w:t>System</w:t>
      </w:r>
      <w:proofErr w:type="spellEnd"/>
      <w:r>
        <w:t xml:space="preserve"> Design Using ISA-95. Advanced </w:t>
      </w:r>
      <w:proofErr w:type="spellStart"/>
      <w:r>
        <w:t>Materials</w:t>
      </w:r>
      <w:proofErr w:type="spellEnd"/>
      <w:r>
        <w:t xml:space="preserve"> </w:t>
      </w:r>
      <w:proofErr w:type="spellStart"/>
      <w:r>
        <w:t>Research</w:t>
      </w:r>
      <w:proofErr w:type="spellEnd"/>
      <w:r>
        <w:t>, 980, 248-252. https://doi.org/10.4028/www.scientific.net/AMR.980.248</w:t>
      </w:r>
    </w:p>
    <w:p w14:paraId="6C0FA8BA" w14:textId="77777777" w:rsidR="00FE38C0" w:rsidRDefault="00000000">
      <w:pPr>
        <w:pStyle w:val="Reference"/>
      </w:pPr>
      <w:proofErr w:type="spellStart"/>
      <w:r>
        <w:t>Grieves</w:t>
      </w:r>
      <w:proofErr w:type="spellEnd"/>
      <w:r>
        <w:t xml:space="preserve">, M., &amp; </w:t>
      </w:r>
      <w:proofErr w:type="spellStart"/>
      <w:r>
        <w:t>Vickers</w:t>
      </w:r>
      <w:proofErr w:type="spellEnd"/>
      <w:r>
        <w:t xml:space="preserve">, J. (2017). </w:t>
      </w:r>
      <w:proofErr w:type="spellStart"/>
      <w:r>
        <w:t>Digital</w:t>
      </w:r>
      <w:proofErr w:type="spellEnd"/>
      <w:r>
        <w:t xml:space="preserve"> </w:t>
      </w:r>
      <w:proofErr w:type="spellStart"/>
      <w:r>
        <w:t>Twin</w:t>
      </w:r>
      <w:proofErr w:type="spellEnd"/>
      <w:r>
        <w:t xml:space="preserve">: </w:t>
      </w:r>
      <w:proofErr w:type="spellStart"/>
      <w:r>
        <w:t>Mitigating</w:t>
      </w:r>
      <w:proofErr w:type="spellEnd"/>
      <w:r>
        <w:t xml:space="preserve"> </w:t>
      </w:r>
      <w:proofErr w:type="spellStart"/>
      <w:r>
        <w:t>unpredictable</w:t>
      </w:r>
      <w:proofErr w:type="spellEnd"/>
      <w:r>
        <w:t xml:space="preserve">, </w:t>
      </w:r>
      <w:proofErr w:type="spellStart"/>
      <w:r>
        <w:t>undesirable</w:t>
      </w:r>
      <w:proofErr w:type="spellEnd"/>
      <w:r>
        <w:t xml:space="preserve"> </w:t>
      </w:r>
      <w:proofErr w:type="spellStart"/>
      <w:r>
        <w:t>emergent</w:t>
      </w:r>
      <w:proofErr w:type="spellEnd"/>
      <w:r>
        <w:t xml:space="preserve"> </w:t>
      </w:r>
      <w:proofErr w:type="spellStart"/>
      <w:r>
        <w:t>behavior</w:t>
      </w:r>
      <w:proofErr w:type="spellEnd"/>
      <w:r>
        <w:t xml:space="preserve"> in </w:t>
      </w:r>
      <w:proofErr w:type="spellStart"/>
      <w:r>
        <w:t>complex</w:t>
      </w:r>
      <w:proofErr w:type="spellEnd"/>
      <w:r>
        <w:t xml:space="preserve"> </w:t>
      </w:r>
      <w:proofErr w:type="spellStart"/>
      <w:r>
        <w:t>systems</w:t>
      </w:r>
      <w:proofErr w:type="spellEnd"/>
      <w:r>
        <w:t xml:space="preserve">. </w:t>
      </w:r>
      <w:proofErr w:type="spellStart"/>
      <w:r>
        <w:t>In</w:t>
      </w:r>
      <w:proofErr w:type="spellEnd"/>
      <w:r>
        <w:t xml:space="preserve"> F.-J. </w:t>
      </w:r>
      <w:proofErr w:type="spellStart"/>
      <w:r>
        <w:t>Kahlen</w:t>
      </w:r>
      <w:proofErr w:type="spellEnd"/>
      <w:r>
        <w:t xml:space="preserve">, S. </w:t>
      </w:r>
      <w:proofErr w:type="spellStart"/>
      <w:r>
        <w:t>Flumerfelt</w:t>
      </w:r>
      <w:proofErr w:type="spellEnd"/>
      <w:r>
        <w:t xml:space="preserve">, &amp; A. </w:t>
      </w:r>
      <w:proofErr w:type="spellStart"/>
      <w:r>
        <w:t>Alves</w:t>
      </w:r>
      <w:proofErr w:type="spellEnd"/>
      <w:r>
        <w:t xml:space="preserve"> (</w:t>
      </w:r>
      <w:proofErr w:type="spellStart"/>
      <w:r>
        <w:t>Eds</w:t>
      </w:r>
      <w:proofErr w:type="spellEnd"/>
      <w:r>
        <w:t xml:space="preserve">.), </w:t>
      </w:r>
      <w:proofErr w:type="spellStart"/>
      <w:r>
        <w:t>Transdisciplinary</w:t>
      </w:r>
      <w:proofErr w:type="spellEnd"/>
      <w:r>
        <w:t xml:space="preserve"> </w:t>
      </w:r>
      <w:proofErr w:type="spellStart"/>
      <w:r>
        <w:t>perspectives</w:t>
      </w:r>
      <w:proofErr w:type="spellEnd"/>
      <w:r>
        <w:t xml:space="preserve"> on </w:t>
      </w:r>
      <w:proofErr w:type="spellStart"/>
      <w:r>
        <w:t>complex</w:t>
      </w:r>
      <w:proofErr w:type="spellEnd"/>
      <w:r>
        <w:t xml:space="preserve"> </w:t>
      </w:r>
      <w:proofErr w:type="spellStart"/>
      <w:r>
        <w:t>systems</w:t>
      </w:r>
      <w:proofErr w:type="spellEnd"/>
      <w:r>
        <w:t xml:space="preserve"> (</w:t>
      </w:r>
      <w:proofErr w:type="spellStart"/>
      <w:r>
        <w:t>pp</w:t>
      </w:r>
      <w:proofErr w:type="spellEnd"/>
      <w:r>
        <w:t xml:space="preserve">. 85-113). </w:t>
      </w:r>
      <w:proofErr w:type="spellStart"/>
      <w:r>
        <w:t>Springer</w:t>
      </w:r>
      <w:proofErr w:type="spellEnd"/>
      <w:r>
        <w:t>. https://doi.org/10.1007/978-3-319-38756-7_4</w:t>
      </w:r>
    </w:p>
    <w:p w14:paraId="2FC8C59B" w14:textId="77777777" w:rsidR="00FE38C0" w:rsidRDefault="00000000">
      <w:pPr>
        <w:pStyle w:val="Reference"/>
      </w:pPr>
      <w:r>
        <w:lastRenderedPageBreak/>
        <w:t xml:space="preserve">Hermann, M., </w:t>
      </w:r>
      <w:proofErr w:type="spellStart"/>
      <w:r>
        <w:t>Pentek</w:t>
      </w:r>
      <w:proofErr w:type="spellEnd"/>
      <w:r>
        <w:t xml:space="preserve">, T., &amp; </w:t>
      </w:r>
      <w:proofErr w:type="spellStart"/>
      <w:r>
        <w:t>Otto</w:t>
      </w:r>
      <w:proofErr w:type="spellEnd"/>
      <w:r>
        <w:t xml:space="preserve">, B. (2016). Design </w:t>
      </w:r>
      <w:proofErr w:type="spellStart"/>
      <w:r>
        <w:t>principles</w:t>
      </w:r>
      <w:proofErr w:type="spellEnd"/>
      <w:r>
        <w:t xml:space="preserve"> </w:t>
      </w:r>
      <w:proofErr w:type="spellStart"/>
      <w:r>
        <w:t>for</w:t>
      </w:r>
      <w:proofErr w:type="spellEnd"/>
      <w:r>
        <w:t xml:space="preserve"> </w:t>
      </w:r>
      <w:proofErr w:type="spellStart"/>
      <w:r>
        <w:t>Industrie</w:t>
      </w:r>
      <w:proofErr w:type="spellEnd"/>
      <w:r>
        <w:t xml:space="preserve"> 4.0 </w:t>
      </w:r>
      <w:proofErr w:type="spellStart"/>
      <w:r>
        <w:t>scenarios</w:t>
      </w:r>
      <w:proofErr w:type="spellEnd"/>
      <w:r>
        <w:t xml:space="preserve">. 2016 49th Hawaii International Conference on </w:t>
      </w:r>
      <w:proofErr w:type="spellStart"/>
      <w:r>
        <w:t>System</w:t>
      </w:r>
      <w:proofErr w:type="spellEnd"/>
      <w:r>
        <w:t xml:space="preserve"> </w:t>
      </w:r>
      <w:proofErr w:type="spellStart"/>
      <w:r>
        <w:t>Sciences</w:t>
      </w:r>
      <w:proofErr w:type="spellEnd"/>
      <w:r>
        <w:t xml:space="preserve"> (HICSS), 3928-3937. https://doi.org/10.1109/HICSS.2016.488</w:t>
      </w:r>
    </w:p>
    <w:p w14:paraId="4451A3A6" w14:textId="77777777" w:rsidR="00FE38C0" w:rsidRDefault="00000000">
      <w:pPr>
        <w:pStyle w:val="Reference"/>
      </w:pPr>
      <w:r>
        <w:t xml:space="preserve">International </w:t>
      </w:r>
      <w:proofErr w:type="spellStart"/>
      <w:r>
        <w:t>Society</w:t>
      </w:r>
      <w:proofErr w:type="spellEnd"/>
      <w:r>
        <w:t xml:space="preserve"> of </w:t>
      </w:r>
      <w:proofErr w:type="spellStart"/>
      <w:r>
        <w:t>Automation</w:t>
      </w:r>
      <w:proofErr w:type="spellEnd"/>
      <w:r>
        <w:t>. (</w:t>
      </w:r>
      <w:proofErr w:type="spellStart"/>
      <w:proofErr w:type="gramStart"/>
      <w:r>
        <w:t>n.d</w:t>
      </w:r>
      <w:proofErr w:type="spellEnd"/>
      <w:r>
        <w:t>.</w:t>
      </w:r>
      <w:proofErr w:type="gramEnd"/>
      <w:r>
        <w:t xml:space="preserve">). ISA-95 </w:t>
      </w:r>
      <w:proofErr w:type="spellStart"/>
      <w:r>
        <w:t>standard</w:t>
      </w:r>
      <w:proofErr w:type="spellEnd"/>
      <w:r>
        <w:t>: Enterprise-</w:t>
      </w:r>
      <w:proofErr w:type="spellStart"/>
      <w:r>
        <w:t>control</w:t>
      </w:r>
      <w:proofErr w:type="spellEnd"/>
      <w:r>
        <w:t xml:space="preserve"> </w:t>
      </w:r>
      <w:proofErr w:type="spellStart"/>
      <w:r>
        <w:t>system</w:t>
      </w:r>
      <w:proofErr w:type="spellEnd"/>
      <w:r>
        <w:t xml:space="preserve"> </w:t>
      </w:r>
      <w:proofErr w:type="spellStart"/>
      <w:r>
        <w:t>integration</w:t>
      </w:r>
      <w:proofErr w:type="spellEnd"/>
      <w:r>
        <w:t xml:space="preserve">. </w:t>
      </w:r>
      <w:proofErr w:type="spellStart"/>
      <w:r>
        <w:t>Retrieved</w:t>
      </w:r>
      <w:proofErr w:type="spellEnd"/>
      <w:r>
        <w:t xml:space="preserve"> April 23, 2026, </w:t>
      </w:r>
      <w:proofErr w:type="spellStart"/>
      <w:r>
        <w:t>from</w:t>
      </w:r>
      <w:proofErr w:type="spellEnd"/>
      <w:r>
        <w:t xml:space="preserve"> https://www.isa.org/standards-and-publications/isa-standards/isa-95-standard</w:t>
      </w:r>
    </w:p>
    <w:p w14:paraId="0AFFF711" w14:textId="77777777" w:rsidR="00FE38C0" w:rsidRDefault="00000000">
      <w:pPr>
        <w:pStyle w:val="Reference"/>
      </w:pPr>
      <w:r>
        <w:t xml:space="preserve">Karim, A. N. M., </w:t>
      </w:r>
      <w:proofErr w:type="spellStart"/>
      <w:r>
        <w:t>Tuan</w:t>
      </w:r>
      <w:proofErr w:type="spellEnd"/>
      <w:r>
        <w:t xml:space="preserve">, S. T., &amp; </w:t>
      </w:r>
      <w:proofErr w:type="spellStart"/>
      <w:r>
        <w:t>Kays</w:t>
      </w:r>
      <w:proofErr w:type="spellEnd"/>
      <w:r>
        <w:t xml:space="preserve">, H. M. E. (2016). Assembly </w:t>
      </w:r>
      <w:proofErr w:type="spellStart"/>
      <w:r>
        <w:t>line</w:t>
      </w:r>
      <w:proofErr w:type="spellEnd"/>
      <w:r>
        <w:t xml:space="preserve"> </w:t>
      </w:r>
      <w:proofErr w:type="spellStart"/>
      <w:r>
        <w:t>productivity</w:t>
      </w:r>
      <w:proofErr w:type="spellEnd"/>
      <w:r>
        <w:t xml:space="preserve"> </w:t>
      </w:r>
      <w:proofErr w:type="spellStart"/>
      <w:r>
        <w:t>improvement</w:t>
      </w:r>
      <w:proofErr w:type="spellEnd"/>
      <w:r>
        <w:t xml:space="preserve"> as re-</w:t>
      </w:r>
      <w:proofErr w:type="spellStart"/>
      <w:r>
        <w:t>engineered</w:t>
      </w:r>
      <w:proofErr w:type="spellEnd"/>
      <w:r>
        <w:t xml:space="preserve"> </w:t>
      </w:r>
      <w:proofErr w:type="spellStart"/>
      <w:r>
        <w:t>by</w:t>
      </w:r>
      <w:proofErr w:type="spellEnd"/>
      <w:r>
        <w:t xml:space="preserve"> MOST. International </w:t>
      </w:r>
      <w:proofErr w:type="spellStart"/>
      <w:r>
        <w:t>Journal</w:t>
      </w:r>
      <w:proofErr w:type="spellEnd"/>
      <w:r>
        <w:t xml:space="preserve"> of Productivity </w:t>
      </w:r>
      <w:proofErr w:type="spellStart"/>
      <w:r>
        <w:t>and</w:t>
      </w:r>
      <w:proofErr w:type="spellEnd"/>
      <w:r>
        <w:t xml:space="preserve"> </w:t>
      </w:r>
      <w:proofErr w:type="spellStart"/>
      <w:r>
        <w:t>Performance</w:t>
      </w:r>
      <w:proofErr w:type="spellEnd"/>
      <w:r>
        <w:t xml:space="preserve"> Management, 65(7), 977-994. https://doi.org/10.1108/IJPPM-11-2015-0169</w:t>
      </w:r>
    </w:p>
    <w:p w14:paraId="18B5FFE6" w14:textId="77777777" w:rsidR="00FE38C0" w:rsidRDefault="00000000">
      <w:pPr>
        <w:pStyle w:val="Reference"/>
      </w:pPr>
      <w:proofErr w:type="spellStart"/>
      <w:r>
        <w:t>Kletti</w:t>
      </w:r>
      <w:proofErr w:type="spellEnd"/>
      <w:r>
        <w:t xml:space="preserve">, J. (Ed.). (2007). </w:t>
      </w:r>
      <w:proofErr w:type="spellStart"/>
      <w:r>
        <w:t>Manufacturing</w:t>
      </w:r>
      <w:proofErr w:type="spellEnd"/>
      <w:r>
        <w:t xml:space="preserve"> </w:t>
      </w:r>
      <w:proofErr w:type="spellStart"/>
      <w:r>
        <w:t>Execution</w:t>
      </w:r>
      <w:proofErr w:type="spellEnd"/>
      <w:r>
        <w:t xml:space="preserve"> </w:t>
      </w:r>
      <w:proofErr w:type="spellStart"/>
      <w:proofErr w:type="gramStart"/>
      <w:r>
        <w:t>Systems</w:t>
      </w:r>
      <w:proofErr w:type="spellEnd"/>
      <w:r>
        <w:t xml:space="preserve"> -</w:t>
      </w:r>
      <w:proofErr w:type="gramEnd"/>
      <w:r>
        <w:t xml:space="preserve"> MES. </w:t>
      </w:r>
      <w:proofErr w:type="spellStart"/>
      <w:r>
        <w:t>Springer</w:t>
      </w:r>
      <w:proofErr w:type="spellEnd"/>
      <w:r>
        <w:t>. https://doi.org/10.1007/978-3-540-49744-8</w:t>
      </w:r>
    </w:p>
    <w:p w14:paraId="1926E14A" w14:textId="77777777" w:rsidR="00FE38C0" w:rsidRDefault="00000000">
      <w:pPr>
        <w:pStyle w:val="Reference"/>
      </w:pPr>
      <w:proofErr w:type="spellStart"/>
      <w:r>
        <w:t>Kritzinger</w:t>
      </w:r>
      <w:proofErr w:type="spellEnd"/>
      <w:r>
        <w:t xml:space="preserve">, W., </w:t>
      </w:r>
      <w:proofErr w:type="spellStart"/>
      <w:r>
        <w:t>Karner</w:t>
      </w:r>
      <w:proofErr w:type="spellEnd"/>
      <w:r>
        <w:t xml:space="preserve">, M., </w:t>
      </w:r>
      <w:proofErr w:type="spellStart"/>
      <w:r>
        <w:t>Traar</w:t>
      </w:r>
      <w:proofErr w:type="spellEnd"/>
      <w:r>
        <w:t xml:space="preserve">, G., </w:t>
      </w:r>
      <w:proofErr w:type="spellStart"/>
      <w:r>
        <w:t>Henjes</w:t>
      </w:r>
      <w:proofErr w:type="spellEnd"/>
      <w:r>
        <w:t xml:space="preserve">, J., &amp; </w:t>
      </w:r>
      <w:proofErr w:type="spellStart"/>
      <w:r>
        <w:t>Sihn</w:t>
      </w:r>
      <w:proofErr w:type="spellEnd"/>
      <w:r>
        <w:t xml:space="preserve">, W. (2018). </w:t>
      </w:r>
      <w:proofErr w:type="spellStart"/>
      <w:r>
        <w:t>Digital</w:t>
      </w:r>
      <w:proofErr w:type="spellEnd"/>
      <w:r>
        <w:t xml:space="preserve"> </w:t>
      </w:r>
      <w:proofErr w:type="spellStart"/>
      <w:r>
        <w:t>Twin</w:t>
      </w:r>
      <w:proofErr w:type="spellEnd"/>
      <w:r>
        <w:t xml:space="preserve"> in </w:t>
      </w:r>
      <w:proofErr w:type="spellStart"/>
      <w:r>
        <w:t>manufacturing</w:t>
      </w:r>
      <w:proofErr w:type="spellEnd"/>
      <w:r>
        <w:t xml:space="preserve">: A </w:t>
      </w:r>
      <w:proofErr w:type="spellStart"/>
      <w:r>
        <w:t>categorical</w:t>
      </w:r>
      <w:proofErr w:type="spellEnd"/>
      <w:r>
        <w:t xml:space="preserve"> </w:t>
      </w:r>
      <w:proofErr w:type="spellStart"/>
      <w:r>
        <w:t>literature</w:t>
      </w:r>
      <w:proofErr w:type="spellEnd"/>
      <w:r>
        <w:t xml:space="preserve"> </w:t>
      </w:r>
      <w:proofErr w:type="spellStart"/>
      <w:r>
        <w:t>review</w:t>
      </w:r>
      <w:proofErr w:type="spellEnd"/>
      <w:r>
        <w:t xml:space="preserve"> </w:t>
      </w:r>
      <w:proofErr w:type="spellStart"/>
      <w:r>
        <w:t>and</w:t>
      </w:r>
      <w:proofErr w:type="spellEnd"/>
      <w:r>
        <w:t xml:space="preserve"> </w:t>
      </w:r>
      <w:proofErr w:type="spellStart"/>
      <w:r>
        <w:t>classification</w:t>
      </w:r>
      <w:proofErr w:type="spellEnd"/>
      <w:r>
        <w:t>. IFAC-</w:t>
      </w:r>
      <w:proofErr w:type="spellStart"/>
      <w:r>
        <w:t>PapersOnLine</w:t>
      </w:r>
      <w:proofErr w:type="spellEnd"/>
      <w:r>
        <w:t>, 51(11), 1016-1022. https://doi.org/10.1016/j.ifacol.2018.08.474</w:t>
      </w:r>
    </w:p>
    <w:p w14:paraId="039D9958" w14:textId="77777777" w:rsidR="00FE38C0" w:rsidRDefault="00000000">
      <w:pPr>
        <w:pStyle w:val="Reference"/>
      </w:pPr>
      <w:r>
        <w:t xml:space="preserve">Lee, J., </w:t>
      </w:r>
      <w:proofErr w:type="spellStart"/>
      <w:r>
        <w:t>Bagheri</w:t>
      </w:r>
      <w:proofErr w:type="spellEnd"/>
      <w:r>
        <w:t xml:space="preserve">, B., &amp; </w:t>
      </w:r>
      <w:proofErr w:type="spellStart"/>
      <w:r>
        <w:t>Kao</w:t>
      </w:r>
      <w:proofErr w:type="spellEnd"/>
      <w:r>
        <w:t xml:space="preserve">, H.-A. (2015). A </w:t>
      </w:r>
      <w:proofErr w:type="spellStart"/>
      <w:r>
        <w:t>cyber-physical</w:t>
      </w:r>
      <w:proofErr w:type="spellEnd"/>
      <w:r>
        <w:t xml:space="preserve"> </w:t>
      </w:r>
      <w:proofErr w:type="spellStart"/>
      <w:r>
        <w:t>systems</w:t>
      </w:r>
      <w:proofErr w:type="spellEnd"/>
      <w:r>
        <w:t xml:space="preserve"> </w:t>
      </w:r>
      <w:proofErr w:type="spellStart"/>
      <w:r>
        <w:t>architecture</w:t>
      </w:r>
      <w:proofErr w:type="spellEnd"/>
      <w:r>
        <w:t xml:space="preserve"> </w:t>
      </w:r>
      <w:proofErr w:type="spellStart"/>
      <w:r>
        <w:t>for</w:t>
      </w:r>
      <w:proofErr w:type="spellEnd"/>
      <w:r>
        <w:t xml:space="preserve"> </w:t>
      </w:r>
      <w:proofErr w:type="spellStart"/>
      <w:r>
        <w:t>Industry</w:t>
      </w:r>
      <w:proofErr w:type="spellEnd"/>
      <w:r>
        <w:t xml:space="preserve"> 4.0-based </w:t>
      </w:r>
      <w:proofErr w:type="spellStart"/>
      <w:r>
        <w:t>manufacturing</w:t>
      </w:r>
      <w:proofErr w:type="spellEnd"/>
      <w:r>
        <w:t xml:space="preserve"> </w:t>
      </w:r>
      <w:proofErr w:type="spellStart"/>
      <w:r>
        <w:t>systems</w:t>
      </w:r>
      <w:proofErr w:type="spellEnd"/>
      <w:r>
        <w:t xml:space="preserve">. </w:t>
      </w:r>
      <w:proofErr w:type="spellStart"/>
      <w:r>
        <w:t>Manufacturing</w:t>
      </w:r>
      <w:proofErr w:type="spellEnd"/>
      <w:r>
        <w:t xml:space="preserve"> </w:t>
      </w:r>
      <w:proofErr w:type="spellStart"/>
      <w:r>
        <w:t>Letters</w:t>
      </w:r>
      <w:proofErr w:type="spellEnd"/>
      <w:r>
        <w:t>, 3, 18-23. https://doi.org/10.1016/j.mfglet.2014.12.001</w:t>
      </w:r>
    </w:p>
    <w:p w14:paraId="5010870E" w14:textId="77777777" w:rsidR="00FE38C0" w:rsidRDefault="00000000">
      <w:pPr>
        <w:pStyle w:val="Reference"/>
      </w:pPr>
      <w:r>
        <w:t xml:space="preserve">Lu, Y., </w:t>
      </w:r>
      <w:proofErr w:type="spellStart"/>
      <w:r>
        <w:t>Liu</w:t>
      </w:r>
      <w:proofErr w:type="spellEnd"/>
      <w:r>
        <w:t xml:space="preserve">, C., Wang, K. I.-K., Huang, H., &amp; Xu, X. (2020). </w:t>
      </w:r>
      <w:proofErr w:type="spellStart"/>
      <w:r>
        <w:t>Digital</w:t>
      </w:r>
      <w:proofErr w:type="spellEnd"/>
      <w:r>
        <w:t xml:space="preserve"> </w:t>
      </w:r>
      <w:proofErr w:type="spellStart"/>
      <w:r>
        <w:t>Twin-driven</w:t>
      </w:r>
      <w:proofErr w:type="spellEnd"/>
      <w:r>
        <w:t xml:space="preserve"> </w:t>
      </w:r>
      <w:proofErr w:type="spellStart"/>
      <w:r>
        <w:t>smart</w:t>
      </w:r>
      <w:proofErr w:type="spellEnd"/>
      <w:r>
        <w:t xml:space="preserve"> </w:t>
      </w:r>
      <w:proofErr w:type="spellStart"/>
      <w:r>
        <w:t>manufacturing</w:t>
      </w:r>
      <w:proofErr w:type="spellEnd"/>
      <w:r>
        <w:t xml:space="preserve">: </w:t>
      </w:r>
      <w:proofErr w:type="spellStart"/>
      <w:r>
        <w:t>Connotation</w:t>
      </w:r>
      <w:proofErr w:type="spellEnd"/>
      <w:r>
        <w:t xml:space="preserve">, reference model, </w:t>
      </w:r>
      <w:proofErr w:type="spellStart"/>
      <w:r>
        <w:t>applications</w:t>
      </w:r>
      <w:proofErr w:type="spellEnd"/>
      <w:r>
        <w:t xml:space="preserve"> </w:t>
      </w:r>
      <w:proofErr w:type="spellStart"/>
      <w:r>
        <w:t>and</w:t>
      </w:r>
      <w:proofErr w:type="spellEnd"/>
      <w:r>
        <w:t xml:space="preserve"> </w:t>
      </w:r>
      <w:proofErr w:type="spellStart"/>
      <w:r>
        <w:t>research</w:t>
      </w:r>
      <w:proofErr w:type="spellEnd"/>
      <w:r>
        <w:t xml:space="preserve"> </w:t>
      </w:r>
      <w:proofErr w:type="spellStart"/>
      <w:r>
        <w:t>issues</w:t>
      </w:r>
      <w:proofErr w:type="spellEnd"/>
      <w:r>
        <w:t xml:space="preserve">. </w:t>
      </w:r>
      <w:proofErr w:type="spellStart"/>
      <w:r>
        <w:t>Robotics</w:t>
      </w:r>
      <w:proofErr w:type="spellEnd"/>
      <w:r>
        <w:t xml:space="preserve"> </w:t>
      </w:r>
      <w:proofErr w:type="spellStart"/>
      <w:r>
        <w:t>and</w:t>
      </w:r>
      <w:proofErr w:type="spellEnd"/>
      <w:r>
        <w:t xml:space="preserve"> </w:t>
      </w:r>
      <w:proofErr w:type="spellStart"/>
      <w:r>
        <w:t>Computer-Integrated</w:t>
      </w:r>
      <w:proofErr w:type="spellEnd"/>
      <w:r>
        <w:t xml:space="preserve"> </w:t>
      </w:r>
      <w:proofErr w:type="spellStart"/>
      <w:r>
        <w:t>Manufacturing</w:t>
      </w:r>
      <w:proofErr w:type="spellEnd"/>
      <w:r>
        <w:t xml:space="preserve">, 61, </w:t>
      </w:r>
      <w:proofErr w:type="spellStart"/>
      <w:r>
        <w:t>Article</w:t>
      </w:r>
      <w:proofErr w:type="spellEnd"/>
      <w:r>
        <w:t xml:space="preserve"> 101837. https://doi.org/10.1016/j.rcim.2019.101837</w:t>
      </w:r>
    </w:p>
    <w:p w14:paraId="251A05DF" w14:textId="77777777" w:rsidR="00FE38C0" w:rsidRDefault="00000000">
      <w:pPr>
        <w:pStyle w:val="Reference"/>
      </w:pPr>
      <w:proofErr w:type="spellStart"/>
      <w:r>
        <w:t>Nakajima</w:t>
      </w:r>
      <w:proofErr w:type="spellEnd"/>
      <w:r>
        <w:t xml:space="preserve">, S. (1988). </w:t>
      </w:r>
      <w:proofErr w:type="spellStart"/>
      <w:r>
        <w:t>Introduction</w:t>
      </w:r>
      <w:proofErr w:type="spellEnd"/>
      <w:r>
        <w:t xml:space="preserve"> </w:t>
      </w:r>
      <w:proofErr w:type="spellStart"/>
      <w:r>
        <w:t>to</w:t>
      </w:r>
      <w:proofErr w:type="spellEnd"/>
      <w:r>
        <w:t xml:space="preserve"> TPM: Total </w:t>
      </w:r>
      <w:proofErr w:type="spellStart"/>
      <w:r>
        <w:t>Productive</w:t>
      </w:r>
      <w:proofErr w:type="spellEnd"/>
      <w:r>
        <w:t xml:space="preserve"> </w:t>
      </w:r>
      <w:proofErr w:type="spellStart"/>
      <w:r>
        <w:t>Maintenance</w:t>
      </w:r>
      <w:proofErr w:type="spellEnd"/>
      <w:r>
        <w:t xml:space="preserve">. Productivity </w:t>
      </w:r>
      <w:proofErr w:type="spellStart"/>
      <w:r>
        <w:t>Press</w:t>
      </w:r>
      <w:proofErr w:type="spellEnd"/>
      <w:r>
        <w:t>.</w:t>
      </w:r>
    </w:p>
    <w:p w14:paraId="725FF10F" w14:textId="77777777" w:rsidR="00FE38C0" w:rsidRDefault="00000000">
      <w:pPr>
        <w:pStyle w:val="Reference"/>
      </w:pPr>
      <w:r>
        <w:t xml:space="preserve">Ng </w:t>
      </w:r>
      <w:proofErr w:type="spellStart"/>
      <w:r>
        <w:t>Corrales</w:t>
      </w:r>
      <w:proofErr w:type="spellEnd"/>
      <w:r>
        <w:t xml:space="preserve">, L. C., </w:t>
      </w:r>
      <w:proofErr w:type="spellStart"/>
      <w:r>
        <w:t>Lambán</w:t>
      </w:r>
      <w:proofErr w:type="spellEnd"/>
      <w:r>
        <w:t xml:space="preserve">, M. P., </w:t>
      </w:r>
      <w:proofErr w:type="spellStart"/>
      <w:r>
        <w:t>Hernandez</w:t>
      </w:r>
      <w:proofErr w:type="spellEnd"/>
      <w:r>
        <w:t xml:space="preserve"> Korner, M. E., &amp; </w:t>
      </w:r>
      <w:proofErr w:type="spellStart"/>
      <w:r>
        <w:t>Royo</w:t>
      </w:r>
      <w:proofErr w:type="spellEnd"/>
      <w:r>
        <w:t xml:space="preserve">, J. (2020). </w:t>
      </w:r>
      <w:proofErr w:type="spellStart"/>
      <w:r>
        <w:t>Overall</w:t>
      </w:r>
      <w:proofErr w:type="spellEnd"/>
      <w:r>
        <w:t xml:space="preserve"> </w:t>
      </w:r>
      <w:proofErr w:type="spellStart"/>
      <w:r>
        <w:t>equipment</w:t>
      </w:r>
      <w:proofErr w:type="spellEnd"/>
      <w:r>
        <w:t xml:space="preserve"> </w:t>
      </w:r>
      <w:proofErr w:type="spellStart"/>
      <w:r>
        <w:t>effectiveness</w:t>
      </w:r>
      <w:proofErr w:type="spellEnd"/>
      <w:r>
        <w:t xml:space="preserve">: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proofErr w:type="spellStart"/>
      <w:r>
        <w:t>and</w:t>
      </w:r>
      <w:proofErr w:type="spellEnd"/>
      <w:r>
        <w:t xml:space="preserve"> </w:t>
      </w:r>
      <w:proofErr w:type="spellStart"/>
      <w:r>
        <w:t>overview</w:t>
      </w:r>
      <w:proofErr w:type="spellEnd"/>
      <w:r>
        <w:t xml:space="preserve"> of </w:t>
      </w:r>
      <w:proofErr w:type="spellStart"/>
      <w:r>
        <w:t>different</w:t>
      </w:r>
      <w:proofErr w:type="spellEnd"/>
      <w:r>
        <w:t xml:space="preserve"> </w:t>
      </w:r>
      <w:proofErr w:type="spellStart"/>
      <w:r>
        <w:t>approaches</w:t>
      </w:r>
      <w:proofErr w:type="spellEnd"/>
      <w:r>
        <w:t xml:space="preserve">. </w:t>
      </w:r>
      <w:proofErr w:type="spellStart"/>
      <w:r>
        <w:t>Applied</w:t>
      </w:r>
      <w:proofErr w:type="spellEnd"/>
      <w:r>
        <w:t xml:space="preserve"> </w:t>
      </w:r>
      <w:proofErr w:type="spellStart"/>
      <w:r>
        <w:t>Sciences</w:t>
      </w:r>
      <w:proofErr w:type="spellEnd"/>
      <w:r>
        <w:t xml:space="preserve">, 10(18), </w:t>
      </w:r>
      <w:proofErr w:type="spellStart"/>
      <w:r>
        <w:t>Article</w:t>
      </w:r>
      <w:proofErr w:type="spellEnd"/>
      <w:r>
        <w:t xml:space="preserve"> 6469. https://doi.org/10.3390/app10186469</w:t>
      </w:r>
    </w:p>
    <w:p w14:paraId="65AFBD5D" w14:textId="77777777" w:rsidR="00FE38C0" w:rsidRDefault="00000000">
      <w:pPr>
        <w:pStyle w:val="Reference"/>
      </w:pPr>
      <w:r>
        <w:t xml:space="preserve">Siemens </w:t>
      </w:r>
      <w:proofErr w:type="spellStart"/>
      <w:r>
        <w:t>Digital</w:t>
      </w:r>
      <w:proofErr w:type="spellEnd"/>
      <w:r>
        <w:t xml:space="preserve"> </w:t>
      </w:r>
      <w:proofErr w:type="spellStart"/>
      <w:r>
        <w:t>Industries</w:t>
      </w:r>
      <w:proofErr w:type="spellEnd"/>
      <w:r>
        <w:t xml:space="preserve"> Software. (</w:t>
      </w:r>
      <w:proofErr w:type="spellStart"/>
      <w:proofErr w:type="gramStart"/>
      <w:r>
        <w:t>n.d</w:t>
      </w:r>
      <w:proofErr w:type="spellEnd"/>
      <w:r>
        <w:t>.</w:t>
      </w:r>
      <w:proofErr w:type="gramEnd"/>
      <w:r>
        <w:t xml:space="preserve">). Bill of </w:t>
      </w:r>
      <w:proofErr w:type="spellStart"/>
      <w:r>
        <w:t>process</w:t>
      </w:r>
      <w:proofErr w:type="spellEnd"/>
      <w:r>
        <w:t xml:space="preserve">. </w:t>
      </w:r>
      <w:proofErr w:type="spellStart"/>
      <w:r>
        <w:t>Retrieved</w:t>
      </w:r>
      <w:proofErr w:type="spellEnd"/>
      <w:r>
        <w:t xml:space="preserve"> April 23, 2026, </w:t>
      </w:r>
      <w:proofErr w:type="spellStart"/>
      <w:r>
        <w:t>from</w:t>
      </w:r>
      <w:proofErr w:type="spellEnd"/>
      <w:r>
        <w:t xml:space="preserve"> https://www.sw.siemens.com/en-US/technology/bill-of-process/</w:t>
      </w:r>
    </w:p>
    <w:p w14:paraId="22008ECD" w14:textId="77777777" w:rsidR="00FE38C0" w:rsidRDefault="00000000">
      <w:pPr>
        <w:pStyle w:val="Reference"/>
      </w:pPr>
      <w:r>
        <w:t xml:space="preserve">Tao, F., Zhang, M., &amp; </w:t>
      </w:r>
      <w:proofErr w:type="spellStart"/>
      <w:r>
        <w:t>Nee</w:t>
      </w:r>
      <w:proofErr w:type="spellEnd"/>
      <w:r>
        <w:t xml:space="preserve">, A. Y. C. (2019). </w:t>
      </w:r>
      <w:proofErr w:type="spellStart"/>
      <w:r>
        <w:t>Digital</w:t>
      </w:r>
      <w:proofErr w:type="spellEnd"/>
      <w:r>
        <w:t xml:space="preserve"> </w:t>
      </w:r>
      <w:proofErr w:type="spellStart"/>
      <w:r>
        <w:t>Twin</w:t>
      </w:r>
      <w:proofErr w:type="spellEnd"/>
      <w:r>
        <w:t xml:space="preserve"> </w:t>
      </w:r>
      <w:proofErr w:type="spellStart"/>
      <w:r>
        <w:t>Driven</w:t>
      </w:r>
      <w:proofErr w:type="spellEnd"/>
      <w:r>
        <w:t xml:space="preserve"> Smart </w:t>
      </w:r>
      <w:proofErr w:type="spellStart"/>
      <w:r>
        <w:t>Manufacturing</w:t>
      </w:r>
      <w:proofErr w:type="spellEnd"/>
      <w:r>
        <w:t xml:space="preserve">. </w:t>
      </w:r>
      <w:proofErr w:type="spellStart"/>
      <w:r>
        <w:t>Academic</w:t>
      </w:r>
      <w:proofErr w:type="spellEnd"/>
      <w:r>
        <w:t xml:space="preserve"> </w:t>
      </w:r>
      <w:proofErr w:type="spellStart"/>
      <w:r>
        <w:t>Press</w:t>
      </w:r>
      <w:proofErr w:type="spellEnd"/>
      <w:r>
        <w:t>.</w:t>
      </w:r>
    </w:p>
    <w:sectPr w:rsidR="00FE38C0">
      <w:pgSz w:w="11906" w:h="16838"/>
      <w:pgMar w:top="1440" w:right="1440" w:bottom="1440" w:left="1440" w:header="720" w:footer="72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FE38C0"/>
    <w:rsid w:val="0037132A"/>
    <w:rsid w:val="009C1418"/>
    <w:rsid w:val="00FC031D"/>
    <w:rsid w:val="00FE38C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C9610"/>
  <w15:docId w15:val="{7120A41E-06F9-47AA-AB91-EAB970BE1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lang w:val="tr-TR" w:eastAsia="tr-T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spacing w:before="360" w:after="180"/>
      <w:outlineLvl w:val="0"/>
    </w:pPr>
    <w:rPr>
      <w:b/>
      <w:sz w:val="30"/>
    </w:rPr>
  </w:style>
  <w:style w:type="paragraph" w:styleId="Balk2">
    <w:name w:val="heading 2"/>
    <w:basedOn w:val="Normal"/>
    <w:next w:val="Normal"/>
    <w:uiPriority w:val="9"/>
    <w:unhideWhenUsed/>
    <w:qFormat/>
    <w:pPr>
      <w:keepNext/>
      <w:spacing w:before="240" w:after="120"/>
      <w:outlineLvl w:val="1"/>
    </w:pPr>
    <w:rPr>
      <w:b/>
      <w:sz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pPr>
      <w:spacing w:after="240"/>
      <w:jc w:val="center"/>
    </w:pPr>
    <w:rPr>
      <w:b/>
      <w:sz w:val="32"/>
    </w:rPr>
  </w:style>
  <w:style w:type="paragraph" w:styleId="Altyaz">
    <w:name w:val="Subtitle"/>
    <w:uiPriority w:val="11"/>
    <w:qFormat/>
    <w:pPr>
      <w:jc w:val="center"/>
    </w:pPr>
    <w:rPr>
      <w:i/>
      <w:sz w:val="26"/>
    </w:rPr>
  </w:style>
  <w:style w:type="paragraph" w:styleId="GvdeMetni">
    <w:name w:val="Body Text"/>
    <w:basedOn w:val="Normal"/>
    <w:qFormat/>
    <w:pPr>
      <w:spacing w:after="120"/>
      <w:ind w:firstLine="720"/>
      <w:jc w:val="both"/>
    </w:pPr>
  </w:style>
  <w:style w:type="paragraph" w:customStyle="1" w:styleId="TableText">
    <w:name w:val="Table Text"/>
    <w:basedOn w:val="Normal"/>
    <w:rPr>
      <w:sz w:val="18"/>
    </w:rPr>
  </w:style>
  <w:style w:type="paragraph" w:customStyle="1" w:styleId="Reference">
    <w:name w:val="Reference"/>
    <w:basedOn w:val="Normal"/>
    <w:pPr>
      <w:spacing w:after="100"/>
      <w:ind w:left="720" w:hanging="720"/>
    </w:pPr>
    <w:rPr>
      <w:sz w:val="22"/>
    </w:rPr>
  </w:style>
  <w:style w:type="table" w:styleId="TabloKlavuzu">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409</TotalTime>
  <Pages>1</Pages>
  <Words>3996</Words>
  <Characters>22782</Characters>
  <Application>Microsoft Office Word</Application>
  <DocSecurity>0</DocSecurity>
  <Lines>189</Lines>
  <Paragraphs>53</Paragraphs>
  <ScaleCrop>false</ScaleCrop>
  <HeadingPairs>
    <vt:vector size="2" baseType="variant">
      <vt:variant>
        <vt:lpstr>Konu Başlığı</vt:lpstr>
      </vt:variant>
      <vt:variant>
        <vt:i4>1</vt:i4>
      </vt:variant>
    </vt:vector>
  </HeadingPairs>
  <TitlesOfParts>
    <vt:vector size="1" baseType="lpstr">
      <vt:lpstr>BOP Merkezli Akademik Bitirme Ara Taslağı</vt:lpstr>
    </vt:vector>
  </TitlesOfParts>
  <Company/>
  <LinksUpToDate>false</LinksUpToDate>
  <CharactersWithSpaces>26725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 Merkezli Akademik Bitirme Ara Taslağı</dc:title>
  <dc:subject>BOP, MES, OEE, MOST ve Dijital İkiz Entegrasyonu</dc:subject>
  <dc:creator>Codex</dc:creator>
  <cp:lastModifiedBy>Damla Çınar</cp:lastModifiedBy>
  <cp:revision>3</cp:revision>
  <dcterms:created xsi:type="dcterms:W3CDTF">2026-04-23T13:18:00Z</dcterms:created>
  <dcterms:modified xsi:type="dcterms:W3CDTF">2026-04-24T15:40:00Z</dcterms:modified>
</cp:coreProperties>
</file>