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Yeni Hibrit Çalışma Politikası Hakkında</w:t>
      </w:r>
    </w:p>
    <w:p>
      <w:pPr>
        <w:pBdr>
          <w:bottom w:val="single" w:color="C2410C" w:sz="8" w:space="6"/>
        </w:pBdr>
        <w:spacing w:after="240"/>
      </w:pPr>
      <w:r>
        <w:rPr>
          <w:color w:val="5F6677"/>
          <w:sz w:val="20"/>
          <w:szCs w:val="20"/>
        </w:rPr>
        <w:t xml:space="preserve">Kimden: İnsan Kaynakları Direktörlüğü · Kime: Tüm çalışanlar · Tarih: 20 Ekim 2026 · (Eğitim amaçlı kurgusal duyuru)</w:t>
      </w:r>
    </w:p>
    <w:p>
      <w:r>
        <w:t xml:space="preserve">Değerli çalışma arkadaşlarımız,</w:t>
      </w:r>
    </w:p>
    <w:p>
      <w:r>
        <w:t xml:space="preserve">Son bir yıl boyunca yürüttüğümüz pilot uygulamanın sonuçlarını, çalışan memnuniyeti anketinden gelen geri bildirimleri ve ekip yöneticilerimizle yaptığımız görüşmeleri dikkate alarak hibrit çalışma düzenimizi yeniden yapılandırdık. Amacımız, ofiste birlikte üretmenin değerini korurken, odaklanma gerektiren işler için esneklik sağlamak ve tüm ekipler arasında adil, öngörülebilir bir düzen oluşturmaktır. Aşağıda yeni politikanın ayrıntılarını ve sizden beklenen adımları bulabilirsiniz. Lütfen duyurunun tamamını dikkatle okuyunuz.</w:t>
      </w:r>
    </w:p>
    <w:p>
      <w:pPr>
        <w:pStyle w:val="Heading1"/>
      </w:pPr>
      <w:r>
        <w:t xml:space="preserve">Yürürlük tarihi ve kapsam</w:t>
      </w:r>
    </w:p>
    <w:p>
      <w:r>
        <w:t xml:space="preserve">Yeni hibrit çalışma politikası </w:t>
      </w:r>
      <w:r>
        <w:rPr>
          <w:b/>
          <w:bCs/>
        </w:rPr>
        <w:t xml:space="preserve">1 Aralık 2026</w:t>
      </w:r>
      <w:r>
        <w:t xml:space="preserve"> tarihinden itibaren tüm genel müdürlük çalışanları için geçerli olacaktır. Saha ekipleri, depo ve operasyon birimleri kendi vardiya düzenlerine göre ayrıca bilgilendirilecektir. Mevcut geçici uzaktan çalışma onayları 30 Kasım 2026 tarihinde sona erecektir.</w:t>
      </w:r>
    </w:p>
    <w:p>
      <w:pPr>
        <w:pStyle w:val="Heading1"/>
      </w:pPr>
      <w:r>
        <w:t xml:space="preserve">Çalışma modeli</w:t>
      </w:r>
    </w:p>
    <w:p>
      <w:r>
        <w:t xml:space="preserve">Yeni düzende haftada </w:t>
      </w:r>
      <w:r>
        <w:rPr>
          <w:b/>
          <w:bCs/>
        </w:rPr>
        <w:t xml:space="preserve">3 gün ofiste, 2 gün uzaktan</w:t>
      </w:r>
      <w:r>
        <w:t xml:space="preserve"> çalışılacaktır. Ofis günleri bireysel olarak değil, ekip bazında belirlenecektir; böylece aynı ekipteki çalışma arkadaşlarının ofiste bir arada olması sağlanacaktır. Ekip yöneticileri, ekiplerinin ofis günlerini </w:t>
      </w:r>
      <w:r>
        <w:rPr>
          <w:b/>
          <w:bCs/>
        </w:rPr>
        <w:t xml:space="preserve">20 Kasım 2026</w:t>
      </w:r>
      <w:r>
        <w:t xml:space="preserve"> tarihine kadar İnsan Kaynakları’na bildirecektir. Ofis günleri her çeyrek başında gözden geçirilebilir.</w:t>
      </w:r>
    </w:p>
    <w:p>
      <w:r>
        <w:t xml:space="preserve">Tüm çalışanlar için </w:t>
      </w:r>
      <w:r>
        <w:rPr>
          <w:b/>
          <w:bCs/>
        </w:rPr>
        <w:t xml:space="preserve">çekirdek çalışma saatleri 10:00–16:00</w:t>
      </w:r>
      <w:r>
        <w:t xml:space="preserve"> olarak belirlenmiştir. Bu saatler arasında, ister ofiste ister uzaktan çalışıyor olun, toplantılara katılım ve iletişim kanallarında ulaşılabilir olmanız beklenmektedir. Günlük çalışma süresi 8 saat olup başlangıç saati 08:00 ile 10:00 arasında esnek olarak belirlenebilir.</w:t>
      </w:r>
    </w:p>
    <w:p>
      <w:pPr>
        <w:pStyle w:val="Heading1"/>
      </w:pPr>
      <w:r>
        <w:t xml:space="preserve">İstisnalar</w:t>
      </w:r>
    </w:p>
    <w:p>
      <w:pPr>
        <w:pStyle w:val="ListParagraph"/>
        <w:numPr>
          <w:ilvl w:val="0"/>
          <w:numId w:val="2"/>
        </w:numPr>
      </w:pPr>
      <w:r>
        <w:t xml:space="preserve">İşe yeni başlayan çalışanlar, uyum sürecinin sağlıklı ilerlemesi için ilk </w:t>
      </w:r>
      <w:r>
        <w:rPr>
          <w:b/>
          <w:bCs/>
        </w:rPr>
        <w:t xml:space="preserve">3 ay</w:t>
      </w:r>
      <w:r>
        <w:t xml:space="preserve"> boyunca haftanın tamamında ofiste çalışacaktır.</w:t>
      </w:r>
    </w:p>
    <w:p>
      <w:pPr>
        <w:pStyle w:val="ListParagraph"/>
        <w:numPr>
          <w:ilvl w:val="0"/>
          <w:numId w:val="2"/>
        </w:numPr>
      </w:pPr>
      <w:r>
        <w:t xml:space="preserve">Sağlık, bakım yükümlülüğü veya benzeri özel durumlarda çalışanlar, yöneticilerinin ve İnsan Kaynakları’nın onayıyla farklı bir düzen talep edebilir. Bu talepler İK Portalı üzerinden </w:t>
      </w:r>
      <w:r>
        <w:rPr>
          <w:b/>
          <w:bCs/>
        </w:rPr>
        <w:t xml:space="preserve">Esnek Çalışma Talebi</w:t>
      </w:r>
      <w:r>
        <w:t xml:space="preserve"> formuyla iletilecektir.</w:t>
      </w:r>
    </w:p>
    <w:p>
      <w:pPr>
        <w:pStyle w:val="ListParagraph"/>
        <w:numPr>
          <w:ilvl w:val="0"/>
          <w:numId w:val="2"/>
        </w:numPr>
      </w:pPr>
      <w:r>
        <w:t xml:space="preserve">Müşteri ziyaretleri ve saha çalışmaları uzaktan çalışma günü olarak değil, ofis günü olarak kabul edilir.</w:t>
      </w:r>
    </w:p>
    <w:p>
      <w:pPr>
        <w:pStyle w:val="Heading1"/>
      </w:pPr>
      <w:r>
        <w:t xml:space="preserve">Ekipman ve destek</w:t>
      </w:r>
    </w:p>
    <w:p>
      <w:r>
        <w:t xml:space="preserve">Uzaktan çalışma günleri için tüm çalışanlara dizüstü bilgisayar, ek monitör ve kulaklık sağlanacaktır. Henüz ek monitörü ve kulaklığı olmayan çalışanlarımız taleplerini 15 Kasım’a kadar Bilgi Teknolojileri’ne iletebilir. Ayrıca ev internet giderlerine katkı olarak her çalışana aylık </w:t>
      </w:r>
      <w:r>
        <w:rPr>
          <w:b/>
          <w:bCs/>
        </w:rPr>
        <w:t xml:space="preserve">500 TL</w:t>
      </w:r>
      <w:r>
        <w:t xml:space="preserve"> internet desteği bordro üzerinden ödenecektir. Ofis sandalyesi ve benzeri mobilya talepleri bu kapsamda değerlendirilmeyecektir.</w:t>
      </w:r>
    </w:p>
    <w:p>
      <w:pPr>
        <w:pStyle w:val="Heading1"/>
      </w:pPr>
      <w:r>
        <w:t xml:space="preserve">Masa düzeni ve rezervasyon</w:t>
      </w:r>
    </w:p>
    <w:p>
      <w:r>
        <w:t xml:space="preserve">Genel müdürlük binasında kişiye özel masa uygulaması kaldırılarak </w:t>
      </w:r>
      <w:r>
        <w:rPr>
          <w:b/>
          <w:bCs/>
        </w:rPr>
        <w:t xml:space="preserve">paylaşımlı masa</w:t>
      </w:r>
      <w:r>
        <w:t xml:space="preserve"> düzenine geçilecektir. Ofis günlerinizde masa rezervasyonunu en geç bir gün önce, şirket mobil uygulamasındaki Masa Rezervasyonu bölümünden yapmanız gerekmektedir. Kişisel eşyalarınız için her çalışana bir dolap tahsis edilecektir. Dolap atamaları 25 Kasım’dan itibaren İdari İşler tarafından yapılacaktır.</w:t>
      </w:r>
    </w:p>
    <w:p>
      <w:pPr>
        <w:pStyle w:val="Heading1"/>
      </w:pPr>
      <w:r>
        <w:t xml:space="preserve">Toplantı kuralları</w:t>
      </w:r>
    </w:p>
    <w:p>
      <w:pPr>
        <w:pStyle w:val="ListParagraph"/>
        <w:numPr>
          <w:ilvl w:val="0"/>
          <w:numId w:val="2"/>
        </w:numPr>
      </w:pPr>
      <w:r>
        <w:t xml:space="preserve">Ofiste ve uzaktan katılımcıların bir arada olduğu toplantılarda herkesin kamerasını açması ve toplantı odalarındaki video konferans sistemlerinin kullanılması beklenir.</w:t>
      </w:r>
    </w:p>
    <w:p>
      <w:pPr>
        <w:pStyle w:val="ListParagraph"/>
        <w:numPr>
          <w:ilvl w:val="0"/>
          <w:numId w:val="2"/>
        </w:numPr>
      </w:pPr>
      <w:r>
        <w:t xml:space="preserve">Cuma günleri 13:00’ten sonra iç toplantı planlanmayacaktır; bu zaman dilimi odaklı çalışmaya ayrılmıştır.</w:t>
      </w:r>
    </w:p>
    <w:p>
      <w:pPr>
        <w:pStyle w:val="ListParagraph"/>
        <w:numPr>
          <w:ilvl w:val="0"/>
          <w:numId w:val="2"/>
        </w:numPr>
      </w:pPr>
      <w:r>
        <w:t xml:space="preserve">Toplantı davetlerinde gündem ve beklenen çıktı mutlaka belirtilmelidir.</w:t>
      </w:r>
    </w:p>
    <w:p>
      <w:pPr>
        <w:pStyle w:val="Heading1"/>
      </w:pPr>
      <w:r>
        <w:t xml:space="preserve">Bilgi güvenliği</w:t>
      </w:r>
    </w:p>
    <w:p>
      <w:r>
        <w:t xml:space="preserve">Uzaktan çalışırken şirket sistemlerine yalnızca VPN üzerinden bağlanılmalı, kafe ve havalimanı gibi kamuya açık kablosuz ağlar kullanılmamalı ve bilgisayar başından kalkarken ekran mutlaka kilitlenmelidir. Gizlilik içeren dokümanların çıktısı evde alınmamalıdır. Bu kurallara uyulmaması disiplin sürecine konu olabilir.</w:t>
      </w:r>
    </w:p>
    <w:p>
      <w:pPr>
        <w:pStyle w:val="Heading1"/>
      </w:pPr>
      <w:r>
        <w:t xml:space="preserve">Sizden beklenen adımlar ve takvim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200"/>
      </w:tblGrid>
      <w:tr>
        <w:trPr>
          <w:tblHeader/>
        </w:trPr>
        <w:tc>
          <w:tcPr>
            <w:tcW w:type="dxa" w:w="20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Tarih</w:t>
            </w:r>
          </w:p>
        </w:tc>
        <w:tc>
          <w:tcPr>
            <w:tcW w:type="dxa" w:w="50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Adım</w:t>
            </w:r>
          </w:p>
        </w:tc>
        <w:tc>
          <w:tcPr>
            <w:tcW w:type="dxa" w:w="2200"/>
            <w:tcBorders>
              <w:top w:val="single" w:color="D9D2C3" w:sz="4"/>
              <w:left w:val="single" w:color="D9D2C3" w:sz="4"/>
              <w:bottom w:val="single" w:color="D9D2C3" w:sz="4"/>
              <w:right w:val="single" w:color="D9D2C3" w:sz="4"/>
            </w:tcBorders>
            <w:shd w:fill="10162A" w:color="auto" w:val="clear"/>
            <w:tcMar>
              <w:top w:type="dxa" w:w="80"/>
              <w:left w:type="dxa" w:w="120"/>
              <w:bottom w:type="dxa" w:w="80"/>
              <w:right w:type="dxa" w:w="120"/>
            </w:tcMar>
          </w:tcPr>
          <w:p>
            <w:pPr>
              <w:spacing w:after="0"/>
            </w:pPr>
            <w:r>
              <w:rPr>
                <w:b/>
                <w:bCs/>
                <w:color w:val="F5F2EA"/>
              </w:rPr>
              <w:t xml:space="preserve">Sorumlu</w:t>
            </w:r>
          </w:p>
        </w:tc>
      </w:tr>
      <w:tr>
        <w:tc>
          <w:tcPr>
            <w:tcW w:type="dxa" w:w="2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15 Kasım 2026</w:t>
            </w:r>
          </w:p>
        </w:tc>
        <w:tc>
          <w:tcPr>
            <w:tcW w:type="dxa" w:w="5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İK Portalı’ndaki Hibrit Çalışma Tercih Formu’nu doldurmak; ekipman taleplerini iletmek</w:t>
            </w:r>
          </w:p>
        </w:tc>
        <w:tc>
          <w:tcPr>
            <w:tcW w:type="dxa" w:w="2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Tüm çalışanlar</w:t>
            </w:r>
          </w:p>
        </w:tc>
      </w:tr>
      <w:tr>
        <w:tc>
          <w:tcPr>
            <w:tcW w:type="dxa" w:w="2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20 Kasım 2026</w:t>
            </w:r>
          </w:p>
        </w:tc>
        <w:tc>
          <w:tcPr>
            <w:tcW w:type="dxa" w:w="5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Ekibin ofis günlerini İK’ya bildirmek</w:t>
            </w:r>
          </w:p>
        </w:tc>
        <w:tc>
          <w:tcPr>
            <w:tcW w:type="dxa" w:w="2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Ekip yöneticileri</w:t>
            </w:r>
          </w:p>
        </w:tc>
      </w:tr>
      <w:tr>
        <w:tc>
          <w:tcPr>
            <w:tcW w:type="dxa" w:w="2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25 Kasım 2026</w:t>
            </w:r>
          </w:p>
        </w:tc>
        <w:tc>
          <w:tcPr>
            <w:tcW w:type="dxa" w:w="5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Yeni düzen bilgilendirme webinarına katılmak (14:00–15:00)</w:t>
            </w:r>
          </w:p>
        </w:tc>
        <w:tc>
          <w:tcPr>
            <w:tcW w:type="dxa" w:w="2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Tüm çalışanlar</w:t>
            </w:r>
          </w:p>
        </w:tc>
      </w:tr>
      <w:tr>
        <w:tc>
          <w:tcPr>
            <w:tcW w:type="dxa" w:w="2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1 Aralık 2026</w:t>
            </w:r>
          </w:p>
        </w:tc>
        <w:tc>
          <w:tcPr>
            <w:tcW w:type="dxa" w:w="5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Yeni politikanın yürürlüğe girmesi</w:t>
            </w:r>
          </w:p>
        </w:tc>
        <w:tc>
          <w:tcPr>
            <w:tcW w:type="dxa" w:w="2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w:t>
            </w:r>
          </w:p>
        </w:tc>
      </w:tr>
      <w:tr>
        <w:tc>
          <w:tcPr>
            <w:tcW w:type="dxa" w:w="2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Mart 2027</w:t>
            </w:r>
          </w:p>
        </w:tc>
        <w:tc>
          <w:tcPr>
            <w:tcW w:type="dxa" w:w="50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İlk değerlendirme anketi ve gerekli güncellemeler</w:t>
            </w:r>
          </w:p>
        </w:tc>
        <w:tc>
          <w:tcPr>
            <w:tcW w:type="dxa" w:w="220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0"/>
            </w:pPr>
            <w:r>
              <w:rPr>
                <w:b w:val="false"/>
                <w:bCs w:val="false"/>
                <w:color w:val="222222"/>
              </w:rPr>
              <w:t xml:space="preserve">İnsan Kaynakları</w:t>
            </w:r>
          </w:p>
        </w:tc>
      </w:tr>
    </w:tbl>
    <w:p>
      <w:pPr>
        <w:spacing w:after="60"/>
      </w:pPr>
    </w:p>
    <w:p>
      <w:r>
        <w:t xml:space="preserve">Politikanın tam metnine İK Portalı’ndaki </w:t>
      </w:r>
      <w:r>
        <w:rPr>
          <w:b/>
          <w:bCs/>
        </w:rPr>
        <w:t xml:space="preserve">Politikalar</w:t>
      </w:r>
      <w:r>
        <w:t xml:space="preserve"> bölümünden ulaşabilirsiniz. Sorularınızı ik@kuzeydanismanlik.example adresine veya 25 Kasım’daki webinar sırasında iletebilirsiniz. Yeni düzenin hepimiz için daha verimli ve dengeli bir çalışma ortamı sağlayacağına inanıyoruz.</w:t>
      </w:r>
    </w:p>
    <w:p>
      <w:r>
        <w:t xml:space="preserve">Saygılarımızla,</w:t>
      </w:r>
    </w:p>
    <w:p>
      <w:r>
        <w:rPr>
          <w:b/>
          <w:bCs/>
        </w:rPr>
        <w:t xml:space="preserve">İnsan Kaynakları Direktörlüğü</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pPr>
        <w:spacing w:after="120"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0162A"/>
      <w:sz w:val="40"/>
      <w:szCs w:val="40"/>
    </w:rPr>
  </w:style>
  <w:style w:type="paragraph" w:styleId="Heading1">
    <w:name w:val="Heading 1"/>
    <w:basedOn w:val="Normal"/>
    <w:next w:val="Normal"/>
    <w:qFormat/>
    <w:pPr>
      <w:spacing w:after="120" w:before="280"/>
      <w:outlineLvl w:val="0"/>
    </w:pPr>
    <w:rPr>
      <w:rFonts w:ascii="Arial" w:cs="Arial" w:eastAsia="Arial" w:hAnsi="Arial"/>
      <w:b/>
      <w:bCs/>
      <w:color w:val="10162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C2410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2026-10-22T20:44:03.717Z</dcterms:created>
  <dcterms:modified xsi:type="dcterms:W3CDTF">2026-10-22T20:44:03.717Z</dcterms:modified>
</cp:coreProperties>
</file>

<file path=docProps/custom.xml><?xml version="1.0" encoding="utf-8"?>
<Properties xmlns="http://schemas.openxmlformats.org/officeDocument/2006/custom-properties" xmlns:vt="http://schemas.openxmlformats.org/officeDocument/2006/docPropsVTypes"/>
</file>