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b/>
          <w:sz w:val="32"/>
        </w:rPr>
        <w:t xml:space="preserve">RAKBANK  Retail Card Dispute and Unauthorised Transaction Procedure</w:t>
      </w:r>
    </w:p>
    <w:p>
      <w:r>
        <w:t xml:space="preserve">Document reference OPS-CRD-014. Version 4.2. Owner: Head of Cards Operations. Applies to all UAE retail debit and credit card disputes raised through any channel.</w:t>
      </w:r>
    </w:p>
    <w:p>
      <w:pPr>
        <w:pStyle w:val="Heading2"/>
      </w:pPr>
      <w:r>
        <w:rPr>
          <w:b/>
          <w:sz w:val="26"/>
        </w:rPr>
        <w:t xml:space="preserve">1. Scope and definitions</w:t>
      </w:r>
    </w:p>
    <w:p>
      <w:r>
        <w:t xml:space="preserve">This procedure covers disputed card transactions reported by retail customers, including unauthorised transactions, non-receipt of goods, duplicate processing and incorrect amounts. Commercial card disputes follow OPS-CRD-021 and are out of scope.</w:t>
      </w:r>
    </w:p>
    <w:p>
      <w:r>
        <w:t xml:space="preserve">A dispute is Confirmed Fraud where the cardholder did not authorise the transaction and the bank accepts the loss. It is Requires Investigation where evidence is incomplete. It is No Fraud Found where the transaction is shown to be authorised.</w:t>
      </w:r>
    </w:p>
    <w:p>
      <w:pPr>
        <w:pStyle w:val="Heading2"/>
      </w:pPr>
      <w:r>
        <w:rPr>
          <w:b/>
          <w:sz w:val="26"/>
        </w:rPr>
        <w:t xml:space="preserve">2. Intake and identity verification</w:t>
      </w:r>
    </w:p>
    <w:p>
      <w:r>
        <w:t xml:space="preserve">2.1 Within 4 working hours of first customer contact, the Contact Centre must verify the cardholder identity using two independent factors and record the disputed amount, the merchant name and the transaction date on the case.</w:t>
      </w:r>
    </w:p>
    <w:p>
      <w:r>
        <w:t xml:space="preserve">2.2 The agent must capture the cardholder statement in the customer's own words and confirm whether the physical card remains in the cardholder's possession.</w:t>
      </w:r>
    </w:p>
    <w:p>
      <w:r>
        <w:t xml:space="preserve">2.3 Where the card is reported lost, stolen or compromised, the card must be blocked immediately before any further step is taken. This step may not be deferred.</w:t>
      </w:r>
    </w:p>
    <w:p>
      <w:pPr>
        <w:pStyle w:val="Heading2"/>
      </w:pPr>
      <w:r>
        <w:rPr>
          <w:b/>
          <w:sz w:val="26"/>
        </w:rPr>
        <w:t xml:space="preserve">3. Eligibility screening</w:t>
      </w:r>
    </w:p>
    <w:p>
      <w:r>
        <w:t xml:space="preserve">3.1 Disputes raised more than 120 calendar days after the transaction date are outside scheme timelines and must be rejected.</w:t>
      </w:r>
    </w:p>
    <w:p>
      <w:r>
        <w:t xml:space="preserve">3.2 A rejection must be issued in writing within 2 business days and must state the reason and the customer's right to escalate to the Complaints Unit.</w:t>
      </w:r>
    </w:p>
    <w:p>
      <w:pPr>
        <w:pStyle w:val="Heading2"/>
      </w:pPr>
      <w:r>
        <w:rPr>
          <w:b/>
          <w:sz w:val="26"/>
        </w:rPr>
        <w:t xml:space="preserve">4. Case summary and triage</w:t>
      </w:r>
    </w:p>
    <w:p>
      <w:r>
        <w:t xml:space="preserve">4.1 Within 1 business day of intake, a structured case summary must be prepared covering the transaction history, prior disputes by the same cardholder in the last 12 months, and any related cases.</w:t>
      </w:r>
    </w:p>
    <w:p>
      <w:r>
        <w:t xml:space="preserve">4.2 Fraud Operations must then classify the dispute as Confirmed Fraud, Requires Investigation or No Fraud Found, recording the basis for the classification.</w:t>
      </w:r>
    </w:p>
    <w:p>
      <w:r>
        <w:t xml:space="preserve">4.3 Indicators that raise suspicion include card-not-present transactions where the card remained with the cardholder, absence of a successfully delivered one time password, a merchant category inconsistent with the cardholder's history, and multiple attempts in rapid succession.</w:t>
      </w:r>
    </w:p>
    <w:p>
      <w:pPr>
        <w:pStyle w:val="Heading2"/>
      </w:pPr>
      <w:r>
        <w:rPr>
          <w:b/>
          <w:sz w:val="26"/>
        </w:rPr>
        <w:t xml:space="preserve">5. Document completeness check</w:t>
      </w:r>
    </w:p>
    <w:p>
      <w:r>
        <w:t xml:space="preserve">5.1 Before any provisional credit is granted, the case file must be checked for the signed dispute form, the cardholder statement, the transaction log extract and, where the value exceeds AED 10,000, a police report reference.</w:t>
      </w:r>
    </w:p>
    <w:p>
      <w:r>
        <w:t xml:space="preserve">5.2 Where any required document is missing the case must be returned to the Contact Centre with a list of what is outstanding.</w:t>
      </w:r>
    </w:p>
    <w:p>
      <w:pPr>
        <w:pStyle w:val="Heading2"/>
      </w:pPr>
      <w:r>
        <w:rPr>
          <w:b/>
          <w:sz w:val="26"/>
        </w:rPr>
        <w:t xml:space="preserve">6. Provisional credit</w:t>
      </w:r>
    </w:p>
    <w:p>
      <w:r>
        <w:t xml:space="preserve">6.1 For disputes at or below AED 5,000 the Disputes Team Leader may grant provisional credit within 2 business days of a Confirmed Fraud or Requires Investigation classification.</w:t>
      </w:r>
    </w:p>
    <w:p>
      <w:r>
        <w:t xml:space="preserve">6.2 For disputes above AED 5,000 the Head of Cards must approve before any credit is posted. Approval must be recorded on the case with the approver name and timestamp.</w:t>
      </w:r>
    </w:p>
    <w:p>
      <w:r>
        <w:t xml:space="preserve">6.3 Provisional credit must never be granted where the classification is No Fraud Found.</w:t>
      </w:r>
    </w:p>
    <w:p>
      <w:pPr>
        <w:pStyle w:val="Heading2"/>
      </w:pPr>
      <w:r>
        <w:rPr>
          <w:b/>
          <w:sz w:val="26"/>
        </w:rPr>
        <w:t xml:space="preserve">7. Chargeback</w:t>
      </w:r>
    </w:p>
    <w:p>
      <w:r>
        <w:t xml:space="preserve">7.1 Where the classification is Confirmed Fraud, Fraud Operations must raise a chargeback with the scheme within 5 business days of classification, citing the correct reason code.</w:t>
      </w:r>
    </w:p>
    <w:p>
      <w:r>
        <w:t xml:space="preserve">7.2 Scheme representment received from the merchant must be assessed within 3 business days and either accepted or challenged.</w:t>
      </w:r>
    </w:p>
    <w:p>
      <w:pPr>
        <w:pStyle w:val="Heading2"/>
      </w:pPr>
      <w:r>
        <w:rPr>
          <w:b/>
          <w:sz w:val="26"/>
        </w:rPr>
        <w:t xml:space="preserve">8. Customer communication</w:t>
      </w:r>
    </w:p>
    <w:p>
      <w:r>
        <w:t xml:space="preserve">8.1 An acknowledgement must reach the customer within 1 business day of intake.</w:t>
      </w:r>
    </w:p>
    <w:p>
      <w:r>
        <w:t xml:space="preserve">8.2 A draft final outcome letter must be prepared explaining the decision in plain language, quoting the case reference and the amount.</w:t>
      </w:r>
    </w:p>
    <w:p>
      <w:r>
        <w:t xml:space="preserve">8.3 The final outcome letter must be reviewed and issued by the Complaints Unit within 30 calendar days of intake. Where the outcome is adverse to the customer, the letter must set out the escalation route to the UAE Central Bank.</w:t>
      </w:r>
    </w:p>
    <w:p>
      <w:pPr>
        <w:pStyle w:val="Heading2"/>
      </w:pPr>
      <w:r>
        <w:rPr>
          <w:b/>
          <w:sz w:val="26"/>
        </w:rPr>
        <w:t xml:space="preserve">9. Regulatory escalation</w:t>
      </w:r>
    </w:p>
    <w:p>
      <w:r>
        <w:t xml:space="preserve">9.1 Any dispute unresolved after 30 calendar days must be escalated to the Complaints Unit and logged in the regulatory register.</w:t>
      </w:r>
    </w:p>
    <w:p>
      <w:r>
        <w:t xml:space="preserve">9.2 Complaints referred by the UAE Central Bank are handled under OPS-COM-002 and carry a 5 business day response deadline.</w:t>
      </w:r>
    </w:p>
    <w:sectPr>
      <w:pgSz w:w="12240" w:h="15840"/>
    </w:sectPr>
  </w:body>
</w:document>
</file>