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Politique de sécurité des données</w:t>
      </w:r>
    </w:p>
    <w:p>
      <w:r>
        <w:t>Ce document décrit les règles applicables à l'ensemble des collaborateurs. Les données à caractère personnel sont protégées conformément au RGPD.</w:t>
      </w:r>
    </w:p>
    <w:p>
      <w:pPr>
        <w:pStyle w:val="Heading2"/>
      </w:pPr>
      <w:r>
        <w:t>Périmètre</w:t>
      </w:r>
    </w:p>
    <w:p>
      <w:r>
        <w:t>Le périmètre couvre les sites de Lyon, Nantes et Genève. Chaque responsable désigné vérifie la conformité trimestriellement.</w:t>
      </w:r>
    </w:p>
    <w:p>
      <w:pPr>
        <w:pStyle w:val="Heading2"/>
      </w:pPr>
      <w:r>
        <w:t>Tableau des responsabilités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Fréquence de revue</w:t>
            </w:r>
          </w:p>
        </w:tc>
      </w:tr>
      <w:tr>
        <w:tc>
          <w:tcPr>
            <w:tcW w:type="dxa" w:w="2880"/>
          </w:tcPr>
          <w:p>
            <w:r>
              <w:t>DPO</w:t>
            </w:r>
          </w:p>
        </w:tc>
        <w:tc>
          <w:tcPr>
            <w:tcW w:type="dxa" w:w="2880"/>
          </w:tcPr>
          <w:p>
            <w:r>
              <w:t>Amélie Durand</w:t>
            </w:r>
          </w:p>
        </w:tc>
        <w:tc>
          <w:tcPr>
            <w:tcW w:type="dxa" w:w="2880"/>
          </w:tcPr>
          <w:p>
            <w:r>
              <w:t>Mensuelle</w:t>
            </w:r>
          </w:p>
        </w:tc>
      </w:tr>
      <w:tr>
        <w:tc>
          <w:tcPr>
            <w:tcW w:type="dxa" w:w="2880"/>
          </w:tcPr>
          <w:p>
            <w:r>
              <w:t>RSSI</w:t>
            </w:r>
          </w:p>
        </w:tc>
        <w:tc>
          <w:tcPr>
            <w:tcW w:type="dxa" w:w="2880"/>
          </w:tcPr>
          <w:p>
            <w:r>
              <w:t>José Muñoz</w:t>
            </w:r>
          </w:p>
        </w:tc>
        <w:tc>
          <w:tcPr>
            <w:tcW w:type="dxa" w:w="2880"/>
          </w:tcPr>
          <w:p>
            <w:r>
              <w:t>Trimestrielle</w:t>
            </w:r>
          </w:p>
        </w:tc>
      </w:tr>
      <w:tr>
        <w:tc>
          <w:tcPr>
            <w:tcW w:type="dxa" w:w="2880"/>
          </w:tcPr>
          <w:p>
            <w:r>
              <w:t>Direction | Juridique</w:t>
            </w:r>
          </w:p>
        </w:tc>
        <w:tc>
          <w:tcPr>
            <w:tcW w:type="dxa" w:w="2880"/>
          </w:tcPr>
          <w:p>
            <w:r>
              <w:t>François Lefèvre</w:t>
            </w:r>
          </w:p>
        </w:tc>
        <w:tc>
          <w:tcPr>
            <w:tcW w:type="dxa" w:w="2880"/>
          </w:tcPr>
          <w:p>
            <w:r>
              <w:t>Annuelle</w:t>
            </w:r>
          </w:p>
        </w:tc>
      </w:tr>
    </w:tbl>
    <w:p>
      <w:pPr>
        <w:pStyle w:val="Heading3"/>
      </w:pPr>
      <w:r>
        <w:t>Procédure d'incident</w:t>
      </w:r>
    </w:p>
    <w:p>
      <w:r>
        <w:t>En cas d'incident, notifier l'autorité sous 72 heures.</w:t>
      </w:r>
    </w:p>
    <w:p>
      <w:pPr>
        <w:pStyle w:val="ListNumber"/>
      </w:pPr>
      <w:r>
        <w:t>Première étape : isoler le système.</w:t>
      </w:r>
    </w:p>
    <w:p>
      <w:pPr>
        <w:pStyle w:val="ListNumber"/>
      </w:pPr>
      <w:r>
        <w:t>Deuxième étape : évaluer l'impact.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