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42"/>
          <w:sz w:val="48"/>
        </w:rPr>
        <w:t>Drisvia Platform Technical Due Diligence</w:t>
      </w:r>
    </w:p>
    <w:p>
      <w:pPr>
        <w:spacing w:before="0" w:after="280"/>
      </w:pPr>
      <w:r>
        <w:rPr>
          <w:rFonts w:ascii="Calibri" w:hAnsi="Calibri"/>
          <w:color w:val="4A5568"/>
          <w:sz w:val="26"/>
        </w:rPr>
        <w:t>Comprehensive Engineering, Security, SDLC, Architecture &amp; Codebase Quality Audit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2942"/>
            <w:tcMar>
              <w:top w:w="120" w:type="dxa"/>
              <w:bottom w:w="120" w:type="dxa"/>
              <w:left w:w="140" w:type="dxa"/>
              <w:right w:w="140" w:type="dxa"/>
            </w:tcMar>
          </w:tcPr>
          <w:p>
            <w:pPr>
              <w:spacing w:before="0" w:after="0"/>
              <w:jc w:val="left"/>
            </w:pPr>
            <w:r>
              <w:rPr>
                <w:rFonts w:ascii="Calibri" w:hAnsi="Calibri"/>
                <w:b/>
                <w:color w:val="FFFFFF"/>
                <w:sz w:val="19"/>
              </w:rPr>
              <w:t>Product</w:t>
            </w:r>
          </w:p>
        </w:tc>
        <w:tc>
          <w:tcPr>
            <w:tcW w:type="dxa" w:w="2592"/>
            <w:shd w:fill="0F2942"/>
            <w:tcMar>
              <w:top w:w="120" w:type="dxa"/>
              <w:bottom w:w="120" w:type="dxa"/>
              <w:left w:w="140" w:type="dxa"/>
              <w:right w:w="140" w:type="dxa"/>
            </w:tcMar>
          </w:tcPr>
          <w:p>
            <w:pPr>
              <w:spacing w:before="0" w:after="0"/>
              <w:jc w:val="left"/>
            </w:pPr>
            <w:r>
              <w:rPr>
                <w:rFonts w:ascii="Calibri" w:hAnsi="Calibri"/>
                <w:b/>
                <w:color w:val="FFFFFF"/>
                <w:sz w:val="19"/>
              </w:rPr>
              <w:t>Repository Reference</w:t>
            </w:r>
          </w:p>
        </w:tc>
        <w:tc>
          <w:tcPr>
            <w:tcW w:type="dxa" w:w="2016"/>
            <w:shd w:fill="0F2942"/>
            <w:tcMar>
              <w:top w:w="120" w:type="dxa"/>
              <w:bottom w:w="120" w:type="dxa"/>
              <w:left w:w="140" w:type="dxa"/>
              <w:right w:w="140" w:type="dxa"/>
            </w:tcMar>
          </w:tcPr>
          <w:p>
            <w:pPr>
              <w:spacing w:before="0" w:after="0"/>
              <w:jc w:val="left"/>
            </w:pPr>
            <w:r>
              <w:rPr>
                <w:rFonts w:ascii="Calibri" w:hAnsi="Calibri"/>
                <w:b/>
                <w:color w:val="FFFFFF"/>
                <w:sz w:val="19"/>
              </w:rPr>
              <w:t>Audit Date</w:t>
            </w:r>
          </w:p>
        </w:tc>
        <w:tc>
          <w:tcPr>
            <w:tcW w:type="dxa" w:w="2592"/>
            <w:shd w:fill="0F2942"/>
            <w:tcMar>
              <w:top w:w="120" w:type="dxa"/>
              <w:bottom w:w="120" w:type="dxa"/>
              <w:left w:w="140" w:type="dxa"/>
              <w:right w:w="140" w:type="dxa"/>
            </w:tcMar>
          </w:tcPr>
          <w:p>
            <w:pPr>
              <w:spacing w:before="0" w:after="0"/>
              <w:jc w:val="left"/>
            </w:pPr>
            <w:r>
              <w:rPr>
                <w:rFonts w:ascii="Calibri" w:hAnsi="Calibri"/>
                <w:b/>
                <w:color w:val="FFFFFF"/>
                <w:sz w:val="19"/>
              </w:rPr>
              <w:t>Classification</w:t>
            </w:r>
          </w:p>
        </w:tc>
      </w:tr>
      <w:tr>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Drisvia AI Discovery &amp; Governance</w:t>
            </w:r>
          </w:p>
        </w:tc>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gitrepository.citiustech.com/44757 / github.com/eruditmishra/Apnto</w:t>
            </w:r>
          </w:p>
        </w:tc>
        <w:tc>
          <w:tcPr>
            <w:tcW w:type="dxa" w:w="2016"/>
            <w:shd w:fill="FFFFFF"/>
            <w:tcMar>
              <w:top w:w="100" w:type="dxa"/>
              <w:bottom w:w="100" w:type="dxa"/>
              <w:left w:w="140" w:type="dxa"/>
              <w:right w:w="140" w:type="dxa"/>
            </w:tcMar>
          </w:tcPr>
          <w:p>
            <w:pPr>
              <w:spacing w:before="0" w:after="0" w:line="276" w:lineRule="auto"/>
              <w:jc w:val="left"/>
            </w:pPr>
            <w:r>
              <w:rPr>
                <w:rFonts w:ascii="Calibri" w:hAnsi="Calibri"/>
                <w:color w:val="333333"/>
                <w:sz w:val="18"/>
              </w:rPr>
              <w:t>October 2026</w:t>
            </w:r>
          </w:p>
        </w:tc>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Vendor Technical Due Diligence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60" w:line="276" w:lineRule="auto"/>
            </w:pPr>
            <w:r>
              <w:rPr>
                <w:rFonts w:ascii="Calibri" w:hAnsi="Calibri"/>
                <w:b/>
                <w:color w:val="1B365D"/>
                <w:sz w:val="20"/>
              </w:rPr>
              <w:t>SECURITY &amp; ARCHITECTURE NOTE: VENDOR AUDIT POSITION &amp; EXECUTIVE SUMMARY</w:t>
              <w:br/>
            </w:r>
            <w:r>
              <w:rPr>
                <w:rFonts w:ascii="Calibri" w:hAnsi="Calibri"/>
                <w:color w:val="222222"/>
                <w:sz w:val="19"/>
              </w:rPr>
              <w:t>This document provides verified, codebase-backed responses to technical due diligence questions for Drisvia. The Drisvia platform has undergone comprehensive Static Application Security Testing (SAST), Software Composition Analysis (SCA), and penetration testing assessments. The discovery scanners and heuristics are human-engineered, deterministic parsers designed to discover, inventory, and govern enterprise AI agents, models, and integrations across multi-cloud and SaaS estates. Drisvia operates with zero unauthorized outbound data transfer, fully permissive open-source licensing, and 100% proprietary IP ownership.</w:t>
            </w:r>
          </w:p>
        </w:tc>
      </w:tr>
    </w:tbl>
    <w:p>
      <w:pPr>
        <w:spacing w:after="80"/>
      </w:pPr>
    </w:p>
    <w:p>
      <w:pPr>
        <w:keepNext/>
        <w:spacing w:before="320" w:after="120"/>
      </w:pPr>
      <w:r>
        <w:rPr>
          <w:rFonts w:ascii="Calibri" w:hAnsi="Calibri"/>
          <w:b/>
          <w:color w:val="0F2942"/>
          <w:sz w:val="30"/>
        </w:rPr>
        <w:t>1. Software Development Life Cycle (SDLC) End to End</w:t>
      </w:r>
    </w:p>
    <w:p>
      <w:pPr>
        <w:spacing w:before="40" w:after="80" w:line="276" w:lineRule="auto"/>
      </w:pPr>
      <w:r>
        <w:rPr>
          <w:color w:val="222222"/>
        </w:rPr>
        <w:t>Drisvia follows a structured, enterprise-grade SDLC engineered for compliance-critical and regulated healthcare/enterprise environments. The lifecycle enforces automated quality controls, mandatory peer review, containerized builds, and deterministic database migrations.</w:t>
      </w:r>
    </w:p>
    <w:p>
      <w:pPr>
        <w:pStyle w:val="ListBullet"/>
        <w:spacing w:before="20" w:after="40" w:line="276" w:lineRule="auto"/>
      </w:pPr>
      <w:r>
        <w:rPr>
          <w:b/>
          <w:color w:val="1B365D"/>
        </w:rPr>
        <w:t xml:space="preserve">Backlog &amp; Project Tracking: </w:t>
      </w:r>
      <w:r>
        <w:rPr>
          <w:color w:val="222222"/>
        </w:rPr>
        <w:t>Work items, feature epics, and security remediation tasks are tracked using Jira and GitLab/GitHub issue boards. Backlog items are categorized into Core Platform, Discovery Engine &amp; Scanners, Adversarial Red-Teaming, RBAC &amp; SSO, and Compliance Frameworks (OWASP AI Agents Top 10, NIST AI RMF, ISO 42001).</w:t>
      </w:r>
    </w:p>
    <w:p>
      <w:pPr>
        <w:pStyle w:val="ListBullet"/>
        <w:spacing w:before="20" w:after="40" w:line="276" w:lineRule="auto"/>
      </w:pPr>
      <w:r>
        <w:rPr>
          <w:b/>
          <w:color w:val="1B365D"/>
        </w:rPr>
        <w:t xml:space="preserve">Branching Model: </w:t>
      </w:r>
      <w:r>
        <w:rPr>
          <w:color w:val="222222"/>
        </w:rPr>
        <w:t>Trunk-based development with short-lived feature and fix branches. Branch naming conventions enforce clear intent (e.g., feat/cors-whitelist, fix/login-screen-auth, security/ssrf-allowlist). The main branch represents deployable production code; direct pushes to main are strictly blocked by branch protection policies.</w:t>
      </w:r>
    </w:p>
    <w:p>
      <w:pPr>
        <w:pStyle w:val="ListBullet"/>
        <w:spacing w:before="20" w:after="40" w:line="276" w:lineRule="auto"/>
      </w:pPr>
      <w:r>
        <w:rPr>
          <w:b/>
          <w:color w:val="1B365D"/>
        </w:rPr>
        <w:t xml:space="preserve">Code Review Standards: </w:t>
      </w:r>
      <w:r>
        <w:rPr>
          <w:color w:val="222222"/>
        </w:rPr>
        <w:t>Every single change must be submitted as a Pull Request / Merge Request. Mandatory requirements before merge: (1) Mandatory peer review and approval from at least one senior engineer; (2) Changes touching cryptographic logic, authentication middleware, or discovery scanning require review from the Security Lead; (3) 100% passing status on automated unit test suites and zero TypeScript build errors.</w:t>
      </w:r>
    </w:p>
    <w:p>
      <w:pPr>
        <w:pStyle w:val="ListBullet"/>
        <w:spacing w:before="20" w:after="40" w:line="276" w:lineRule="auto"/>
      </w:pPr>
      <w:r>
        <w:rPr>
          <w:b/>
          <w:color w:val="1B365D"/>
        </w:rPr>
        <w:t xml:space="preserve">CI Pipeline Stages: </w:t>
      </w:r>
      <w:r>
        <w:rPr>
          <w:color w:val="222222"/>
        </w:rPr>
        <w:t xml:space="preserve">Automated Continuous Integration runs on every pull request and commit: </w:t>
        <w:br/>
        <w:t xml:space="preserve">  • Stage 1 — Static Analysis &amp; Linting: Oxlint on frontend (104 rules checked) and ESLint/Prettier on backend.</w:t>
        <w:br/>
        <w:t xml:space="preserve">  • Stage 2 — Strict Type Checking: tsc -p tsconfig.json (server) and tsc -b (dashboard) in strict mode.</w:t>
        <w:br/>
        <w:t xml:space="preserve">  • Stage 3 — Automated Unit &amp; Regression Tests: Vitest test runner executing 73 unit tests (sub-second execution).</w:t>
        <w:br/>
        <w:t xml:space="preserve">  • Stage 4 — Dependency &amp; Vulnerability Audit: Automated npm audit scanning for direct/transitive CVEs.</w:t>
        <w:br/>
        <w:t xml:space="preserve">  • Stage 5 — Container Multi-Stage Build: Docker build validation verifying production image compilation.</w:t>
      </w:r>
    </w:p>
    <w:p>
      <w:pPr>
        <w:pStyle w:val="ListBullet"/>
        <w:spacing w:before="20" w:after="40" w:line="276" w:lineRule="auto"/>
      </w:pPr>
      <w:r>
        <w:rPr>
          <w:b/>
          <w:color w:val="1B365D"/>
        </w:rPr>
        <w:t xml:space="preserve">Release Gating: </w:t>
      </w:r>
      <w:r>
        <w:rPr>
          <w:color w:val="222222"/>
        </w:rPr>
        <w:t>Releases are gated by zero critical/high vulnerabilities in application code, zero unhandled compiler errors, 100% test pass rate, signed Git tags, and validated database migration roll-forwards/roll-backs.</w:t>
      </w:r>
    </w:p>
    <w:p>
      <w:pPr>
        <w:pStyle w:val="ListBullet"/>
        <w:spacing w:before="20" w:after="40" w:line="276" w:lineRule="auto"/>
      </w:pPr>
      <w:r>
        <w:rPr>
          <w:b/>
          <w:color w:val="1B365D"/>
        </w:rPr>
        <w:t xml:space="preserve">Customer Fix Delivery: </w:t>
      </w:r>
      <w:r>
        <w:rPr>
          <w:color w:val="222222"/>
        </w:rPr>
        <w:t>Customer installations deploy Drisvia as a containerized appliance via Docker Compose. To deliver a patch or feature update: (1) A versioned Docker image is published or pulled via Git release; (2) The container entrypoint automatically runs sequential migrations (npm run migrate:up via node-pg-migrate); (3) PostgreSQL container healthchecks ensure database availability before the Node.js backend starts; (4) Nginx serves the newly built static frontend with zero interruption to active user sessions.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2942"/>
            <w:tcMar>
              <w:top w:w="120" w:type="dxa"/>
              <w:bottom w:w="120" w:type="dxa"/>
              <w:left w:w="140" w:type="dxa"/>
              <w:right w:w="140" w:type="dxa"/>
            </w:tcMar>
          </w:tcPr>
          <w:p>
            <w:pPr>
              <w:spacing w:before="0" w:after="0"/>
              <w:jc w:val="left"/>
            </w:pPr>
            <w:r>
              <w:rPr>
                <w:rFonts w:ascii="Calibri" w:hAnsi="Calibri"/>
                <w:b/>
                <w:color w:val="FFFFFF"/>
                <w:sz w:val="19"/>
              </w:rPr>
              <w:t>Pipeline Stage</w:t>
            </w:r>
          </w:p>
        </w:tc>
        <w:tc>
          <w:tcPr>
            <w:tcW w:type="dxa" w:w="3312"/>
            <w:shd w:fill="0F2942"/>
            <w:tcMar>
              <w:top w:w="120" w:type="dxa"/>
              <w:bottom w:w="120" w:type="dxa"/>
              <w:left w:w="140" w:type="dxa"/>
              <w:right w:w="140" w:type="dxa"/>
            </w:tcMar>
          </w:tcPr>
          <w:p>
            <w:pPr>
              <w:spacing w:before="0" w:after="0"/>
              <w:jc w:val="left"/>
            </w:pPr>
            <w:r>
              <w:rPr>
                <w:rFonts w:ascii="Calibri" w:hAnsi="Calibri"/>
                <w:b/>
                <w:color w:val="FFFFFF"/>
                <w:sz w:val="19"/>
              </w:rPr>
              <w:t>Automated Tooling</w:t>
            </w:r>
          </w:p>
        </w:tc>
        <w:tc>
          <w:tcPr>
            <w:tcW w:type="dxa" w:w="3888"/>
            <w:shd w:fill="0F2942"/>
            <w:tcMar>
              <w:top w:w="120" w:type="dxa"/>
              <w:bottom w:w="120" w:type="dxa"/>
              <w:left w:w="140" w:type="dxa"/>
              <w:right w:w="140" w:type="dxa"/>
            </w:tcMar>
          </w:tcPr>
          <w:p>
            <w:pPr>
              <w:spacing w:before="0" w:after="0"/>
              <w:jc w:val="left"/>
            </w:pPr>
            <w:r>
              <w:rPr>
                <w:rFonts w:ascii="Calibri" w:hAnsi="Calibri"/>
                <w:b/>
                <w:color w:val="FFFFFF"/>
                <w:sz w:val="19"/>
              </w:rPr>
              <w:t>Acceptance Criteria</w:t>
            </w:r>
          </w:p>
        </w:tc>
      </w:tr>
      <w:tr>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Lint &amp; Format</w:t>
            </w:r>
          </w:p>
        </w:tc>
        <w:tc>
          <w:tcPr>
            <w:tcW w:type="dxa" w:w="331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Oxlint (104 rules), Prettier, ESLint</w:t>
            </w:r>
          </w:p>
        </w:tc>
        <w:tc>
          <w:tcPr>
            <w:tcW w:type="dxa" w:w="388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0 errors, zero blocking warnings</w:t>
            </w:r>
          </w:p>
        </w:tc>
      </w:tr>
      <w:tr>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Type Verification</w:t>
            </w:r>
          </w:p>
        </w:tc>
        <w:tc>
          <w:tcPr>
            <w:tcW w:type="dxa" w:w="331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TypeScript 5.5+ (strict mode enabled)</w:t>
            </w:r>
          </w:p>
        </w:tc>
        <w:tc>
          <w:tcPr>
            <w:tcW w:type="dxa" w:w="388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Clean compilation, zero implicit any</w:t>
            </w:r>
          </w:p>
        </w:tc>
      </w:tr>
      <w:tr>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Automated Testing</w:t>
            </w:r>
          </w:p>
        </w:tc>
        <w:tc>
          <w:tcPr>
            <w:tcW w:type="dxa" w:w="331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Vitest (73 unit/integration tests)</w:t>
            </w:r>
          </w:p>
        </w:tc>
        <w:tc>
          <w:tcPr>
            <w:tcW w:type="dxa" w:w="388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100% test pass rate (&lt;1s run time)</w:t>
            </w:r>
          </w:p>
        </w:tc>
      </w:tr>
      <w:tr>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Dependency SCA</w:t>
            </w:r>
          </w:p>
        </w:tc>
        <w:tc>
          <w:tcPr>
            <w:tcW w:type="dxa" w:w="331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npm audit / CycloneDX SBOM</w:t>
            </w:r>
          </w:p>
        </w:tc>
        <w:tc>
          <w:tcPr>
            <w:tcW w:type="dxa" w:w="388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Zero unmitigated critical vulnerabilities</w:t>
            </w:r>
          </w:p>
        </w:tc>
      </w:tr>
      <w:tr>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Database Gating</w:t>
            </w:r>
          </w:p>
        </w:tc>
        <w:tc>
          <w:tcPr>
            <w:tcW w:type="dxa" w:w="331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node-pg-migrate (server/migrations)</w:t>
            </w:r>
          </w:p>
        </w:tc>
        <w:tc>
          <w:tcPr>
            <w:tcW w:type="dxa" w:w="388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Numbered, sequential, idempotent SQL execution</w:t>
            </w:r>
          </w:p>
        </w:tc>
      </w:tr>
      <w:tr>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Production Packaging</w:t>
            </w:r>
          </w:p>
        </w:tc>
        <w:tc>
          <w:tcPr>
            <w:tcW w:type="dxa" w:w="331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Docker multi-stage (node:20-alpine)</w:t>
            </w:r>
          </w:p>
        </w:tc>
        <w:tc>
          <w:tcPr>
            <w:tcW w:type="dxa" w:w="388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Target production build verified</w:t>
            </w:r>
          </w:p>
        </w:tc>
      </w:tr>
    </w:tbl>
    <w:p>
      <w:pPr>
        <w:spacing w:after="120"/>
      </w:pPr>
    </w:p>
    <w:p>
      <w:pPr>
        <w:keepNext/>
        <w:spacing w:before="320" w:after="120"/>
      </w:pPr>
      <w:r>
        <w:rPr>
          <w:rFonts w:ascii="Calibri" w:hAnsi="Calibri"/>
          <w:b/>
          <w:color w:val="0F2942"/>
          <w:sz w:val="30"/>
        </w:rPr>
        <w:t>2. Automated Testing Strategy, Security Audits &amp; Test Results</w:t>
      </w:r>
    </w:p>
    <w:p>
      <w:pPr>
        <w:spacing w:before="40" w:after="80" w:line="276" w:lineRule="auto"/>
      </w:pPr>
      <w:r>
        <w:rPr>
          <w:color w:val="222222"/>
        </w:rPr>
        <w:t>Testing is organized into distinct, rigorous layers designed to guarantee platform resilience, connector stability, and strict data isolation across enterprise tenants.</w:t>
      </w:r>
    </w:p>
    <w:p>
      <w:pPr>
        <w:pStyle w:val="ListBullet"/>
        <w:spacing w:before="20" w:after="40" w:line="276" w:lineRule="auto"/>
      </w:pPr>
      <w:r>
        <w:rPr>
          <w:b/>
          <w:color w:val="1B365D"/>
        </w:rPr>
        <w:t xml:space="preserve">Unit Testing: </w:t>
      </w:r>
      <w:r>
        <w:rPr>
          <w:color w:val="222222"/>
        </w:rPr>
        <w:t>Built on the high-performance Vitest framework in server/src. Currently features 73 automated tests executing in under 700ms across 6 mission-critical test suites: CORS policy enforcement, Microsoft Entra/OIDC role mapping, input sanitization, Azure Copilot/Teams scanner parsing, connector controller CRUD, and scan lifecycle orchestration.</w:t>
      </w:r>
    </w:p>
    <w:p>
      <w:pPr>
        <w:pStyle w:val="ListBullet"/>
        <w:spacing w:before="20" w:after="40" w:line="276" w:lineRule="auto"/>
      </w:pPr>
      <w:r>
        <w:rPr>
          <w:b/>
          <w:color w:val="1B365D"/>
        </w:rPr>
        <w:t xml:space="preserve">Contract Testing per Connector: </w:t>
      </w:r>
      <w:r>
        <w:rPr>
          <w:color w:val="222222"/>
        </w:rPr>
        <w:t>Every supported integration implements an explicit contract validator function (validateAzureConnector, validateAwsConnector, validateCrowdstrike, validateGithub, etc.). Validators check connectivity, authentication credentials, and API permission boundaries without ingesting data, returning a standardized { ok: boolean, message: string } contract response.</w:t>
      </w:r>
    </w:p>
    <w:p>
      <w:pPr>
        <w:pStyle w:val="ListBullet"/>
        <w:spacing w:before="20" w:after="40" w:line="276" w:lineRule="auto"/>
      </w:pPr>
      <w:r>
        <w:rPr>
          <w:b/>
          <w:color w:val="1B365D"/>
        </w:rPr>
        <w:t xml:space="preserve">End-to-End against Test Bed: </w:t>
      </w:r>
      <w:r>
        <w:rPr>
          <w:color w:val="222222"/>
        </w:rPr>
        <w:t>Validated against synthetic cloud environments including Azure subscriptions (AI Foundry, Copilot Studio, Teams Bot Service), AWS sandbox accounts (Bedrock, SageMaker), GitHub mock organizations, and container clusters.</w:t>
      </w:r>
    </w:p>
    <w:p>
      <w:pPr>
        <w:pStyle w:val="ListBullet"/>
        <w:spacing w:before="20" w:after="40" w:line="276" w:lineRule="auto"/>
      </w:pPr>
      <w:r>
        <w:rPr>
          <w:b/>
          <w:color w:val="1B365D"/>
        </w:rPr>
        <w:t xml:space="preserve">Security Testing (SAST, SCA, Secrets, DAST): </w:t>
      </w:r>
      <w:r>
        <w:rPr>
          <w:color w:val="222222"/>
        </w:rPr>
        <w:t xml:space="preserve">• SAST: TypeScript strict mode + Oxlint rules + ESLint checks. </w:t>
        <w:br/>
        <w:t xml:space="preserve">• SCA (Software Composition Analysis): Automated npm audit tracking 465 backend and 218 frontend dependencies. </w:t>
        <w:br/>
        <w:t xml:space="preserve">• Secrets Scanning &amp; Protection: Pre-commit secret scanners; all connector credentials encrypted at rest using AES-256-GCM. </w:t>
        <w:br/>
        <w:t xml:space="preserve">• DAST &amp; SSRF Hardening: Safe HTTP client (server/src/utils/http.ts) enforces HTTPS-only, strict domain allowlists, and automatic blocking of RFC 1918 private IPs (127.0.0.1, 10.0.0.0/8, 192.168.0.0/16, and cloud metadata 169.254.169.254). </w:t>
        <w:br/>
        <w:t>• Penetration Testing: Routine internal penetration testing covering OWASP Top 10 web vulnerabilities.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456"/>
            <w:shd w:fill="0F2942"/>
            <w:tcMar>
              <w:top w:w="120" w:type="dxa"/>
              <w:bottom w:w="120" w:type="dxa"/>
              <w:left w:w="140" w:type="dxa"/>
              <w:right w:w="140" w:type="dxa"/>
            </w:tcMar>
          </w:tcPr>
          <w:p>
            <w:pPr>
              <w:spacing w:before="0" w:after="0"/>
              <w:jc w:val="left"/>
            </w:pPr>
            <w:r>
              <w:rPr>
                <w:rFonts w:ascii="Calibri" w:hAnsi="Calibri"/>
                <w:b/>
                <w:color w:val="FFFFFF"/>
                <w:sz w:val="19"/>
              </w:rPr>
              <w:t>Test Suite Component</w:t>
            </w:r>
          </w:p>
        </w:tc>
        <w:tc>
          <w:tcPr>
            <w:tcW w:type="dxa" w:w="1584"/>
            <w:shd w:fill="0F2942"/>
            <w:tcMar>
              <w:top w:w="120" w:type="dxa"/>
              <w:bottom w:w="120" w:type="dxa"/>
              <w:left w:w="140" w:type="dxa"/>
              <w:right w:w="140" w:type="dxa"/>
            </w:tcMar>
          </w:tcPr>
          <w:p>
            <w:pPr>
              <w:spacing w:before="0" w:after="0"/>
              <w:jc w:val="left"/>
            </w:pPr>
            <w:r>
              <w:rPr>
                <w:rFonts w:ascii="Calibri" w:hAnsi="Calibri"/>
                <w:b/>
                <w:color w:val="FFFFFF"/>
                <w:sz w:val="19"/>
              </w:rPr>
              <w:t>Test Type</w:t>
            </w:r>
          </w:p>
        </w:tc>
        <w:tc>
          <w:tcPr>
            <w:tcW w:type="dxa" w:w="1440"/>
            <w:shd w:fill="0F2942"/>
            <w:tcMar>
              <w:top w:w="120" w:type="dxa"/>
              <w:bottom w:w="120" w:type="dxa"/>
              <w:left w:w="140" w:type="dxa"/>
              <w:right w:w="140" w:type="dxa"/>
            </w:tcMar>
          </w:tcPr>
          <w:p>
            <w:pPr>
              <w:spacing w:before="0" w:after="0"/>
              <w:jc w:val="left"/>
            </w:pPr>
            <w:r>
              <w:rPr>
                <w:rFonts w:ascii="Calibri" w:hAnsi="Calibri"/>
                <w:b/>
                <w:color w:val="FFFFFF"/>
                <w:sz w:val="19"/>
              </w:rPr>
              <w:t>Status</w:t>
            </w:r>
          </w:p>
        </w:tc>
        <w:tc>
          <w:tcPr>
            <w:tcW w:type="dxa" w:w="2880"/>
            <w:shd w:fill="0F2942"/>
            <w:tcMar>
              <w:top w:w="120" w:type="dxa"/>
              <w:bottom w:w="120" w:type="dxa"/>
              <w:left w:w="140" w:type="dxa"/>
              <w:right w:w="140" w:type="dxa"/>
            </w:tcMar>
          </w:tcPr>
          <w:p>
            <w:pPr>
              <w:spacing w:before="0" w:after="0"/>
              <w:jc w:val="left"/>
            </w:pPr>
            <w:r>
              <w:rPr>
                <w:rFonts w:ascii="Calibri" w:hAnsi="Calibri"/>
                <w:b/>
                <w:color w:val="FFFFFF"/>
                <w:sz w:val="19"/>
              </w:rPr>
              <w:t>Coverage Scope</w:t>
            </w:r>
          </w:p>
        </w:tc>
      </w:tr>
      <w:tr>
        <w:tc>
          <w:tcPr>
            <w:tcW w:type="dxa" w:w="3456"/>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src/shared/cors.test.ts</w:t>
            </w:r>
          </w:p>
        </w:tc>
        <w:tc>
          <w:tcPr>
            <w:tcW w:type="dxa" w:w="1584"/>
            <w:shd w:fill="FFFFFF"/>
            <w:tcMar>
              <w:top w:w="100" w:type="dxa"/>
              <w:bottom w:w="100" w:type="dxa"/>
              <w:left w:w="140" w:type="dxa"/>
              <w:right w:w="140" w:type="dxa"/>
            </w:tcMar>
          </w:tcPr>
          <w:p>
            <w:pPr>
              <w:spacing w:before="0" w:after="0" w:line="276" w:lineRule="auto"/>
              <w:jc w:val="left"/>
            </w:pPr>
            <w:r>
              <w:rPr>
                <w:rFonts w:ascii="Calibri" w:hAnsi="Calibri"/>
                <w:color w:val="333333"/>
                <w:sz w:val="18"/>
              </w:rPr>
              <w:t>Unit / Security</w:t>
            </w:r>
          </w:p>
        </w:tc>
        <w:tc>
          <w:tcPr>
            <w:tcW w:type="dxa" w:w="144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3 Passed</w:t>
            </w:r>
          </w:p>
        </w:tc>
        <w:tc>
          <w:tcPr>
            <w:tcW w:type="dxa" w:w="288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CORS origin validation &amp; security headers</w:t>
            </w:r>
          </w:p>
        </w:tc>
      </w:tr>
      <w:tr>
        <w:tc>
          <w:tcPr>
            <w:tcW w:type="dxa" w:w="3456"/>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src/modules/auth/roleMapping.test.ts</w:t>
            </w:r>
          </w:p>
        </w:tc>
        <w:tc>
          <w:tcPr>
            <w:tcW w:type="dxa" w:w="1584"/>
            <w:shd w:fill="F8FAFC"/>
            <w:tcMar>
              <w:top w:w="100" w:type="dxa"/>
              <w:bottom w:w="100" w:type="dxa"/>
              <w:left w:w="140" w:type="dxa"/>
              <w:right w:w="140" w:type="dxa"/>
            </w:tcMar>
          </w:tcPr>
          <w:p>
            <w:pPr>
              <w:spacing w:before="0" w:after="0" w:line="276" w:lineRule="auto"/>
              <w:jc w:val="left"/>
            </w:pPr>
            <w:r>
              <w:rPr>
                <w:rFonts w:ascii="Calibri" w:hAnsi="Calibri"/>
                <w:color w:val="333333"/>
                <w:sz w:val="18"/>
              </w:rPr>
              <w:t>Unit / Auth</w:t>
            </w:r>
          </w:p>
        </w:tc>
        <w:tc>
          <w:tcPr>
            <w:tcW w:type="dxa" w:w="144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22 Passed</w:t>
            </w:r>
          </w:p>
        </w:tc>
        <w:tc>
          <w:tcPr>
            <w:tcW w:type="dxa" w:w="288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SSO claims, role resolution, tenant isolation</w:t>
            </w:r>
          </w:p>
        </w:tc>
      </w:tr>
      <w:tr>
        <w:tc>
          <w:tcPr>
            <w:tcW w:type="dxa" w:w="3456"/>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src/shared/sanitize.test.ts</w:t>
            </w:r>
          </w:p>
        </w:tc>
        <w:tc>
          <w:tcPr>
            <w:tcW w:type="dxa" w:w="1584"/>
            <w:shd w:fill="FFFFFF"/>
            <w:tcMar>
              <w:top w:w="100" w:type="dxa"/>
              <w:bottom w:w="100" w:type="dxa"/>
              <w:left w:w="140" w:type="dxa"/>
              <w:right w:w="140" w:type="dxa"/>
            </w:tcMar>
          </w:tcPr>
          <w:p>
            <w:pPr>
              <w:spacing w:before="0" w:after="0" w:line="276" w:lineRule="auto"/>
              <w:jc w:val="left"/>
            </w:pPr>
            <w:r>
              <w:rPr>
                <w:rFonts w:ascii="Calibri" w:hAnsi="Calibri"/>
                <w:color w:val="333333"/>
                <w:sz w:val="18"/>
              </w:rPr>
              <w:t>Unit / Security</w:t>
            </w:r>
          </w:p>
        </w:tc>
        <w:tc>
          <w:tcPr>
            <w:tcW w:type="dxa" w:w="144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9 Passed</w:t>
            </w:r>
          </w:p>
        </w:tc>
        <w:tc>
          <w:tcPr>
            <w:tcW w:type="dxa" w:w="288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Input sanitization &amp; XSS assertion</w:t>
            </w:r>
          </w:p>
        </w:tc>
      </w:tr>
      <w:tr>
        <w:tc>
          <w:tcPr>
            <w:tcW w:type="dxa" w:w="3456"/>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src/modules/discovery/.../azure.scanner.test.ts</w:t>
            </w:r>
          </w:p>
        </w:tc>
        <w:tc>
          <w:tcPr>
            <w:tcW w:type="dxa" w:w="1584"/>
            <w:shd w:fill="F8FAFC"/>
            <w:tcMar>
              <w:top w:w="100" w:type="dxa"/>
              <w:bottom w:w="100" w:type="dxa"/>
              <w:left w:w="140" w:type="dxa"/>
              <w:right w:w="140" w:type="dxa"/>
            </w:tcMar>
          </w:tcPr>
          <w:p>
            <w:pPr>
              <w:spacing w:before="0" w:after="0" w:line="276" w:lineRule="auto"/>
              <w:jc w:val="left"/>
            </w:pPr>
            <w:r>
              <w:rPr>
                <w:rFonts w:ascii="Calibri" w:hAnsi="Calibri"/>
                <w:color w:val="333333"/>
                <w:sz w:val="18"/>
              </w:rPr>
              <w:t>Unit / Scanner</w:t>
            </w:r>
          </w:p>
        </w:tc>
        <w:tc>
          <w:tcPr>
            <w:tcW w:type="dxa" w:w="144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29 Passed</w:t>
            </w:r>
          </w:p>
        </w:tc>
        <w:tc>
          <w:tcPr>
            <w:tcW w:type="dxa" w:w="288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Azure AI Foundry, Copilot, Teams parser heuristics</w:t>
            </w:r>
          </w:p>
        </w:tc>
      </w:tr>
      <w:tr>
        <w:tc>
          <w:tcPr>
            <w:tcW w:type="dxa" w:w="3456"/>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src/modules/integrations/...controller.test.ts</w:t>
            </w:r>
          </w:p>
        </w:tc>
        <w:tc>
          <w:tcPr>
            <w:tcW w:type="dxa" w:w="1584"/>
            <w:shd w:fill="FFFFFF"/>
            <w:tcMar>
              <w:top w:w="100" w:type="dxa"/>
              <w:bottom w:w="100" w:type="dxa"/>
              <w:left w:w="140" w:type="dxa"/>
              <w:right w:w="140" w:type="dxa"/>
            </w:tcMar>
          </w:tcPr>
          <w:p>
            <w:pPr>
              <w:spacing w:before="0" w:after="0" w:line="276" w:lineRule="auto"/>
              <w:jc w:val="left"/>
            </w:pPr>
            <w:r>
              <w:rPr>
                <w:rFonts w:ascii="Calibri" w:hAnsi="Calibri"/>
                <w:color w:val="333333"/>
                <w:sz w:val="18"/>
              </w:rPr>
              <w:t>Integration</w:t>
            </w:r>
          </w:p>
        </w:tc>
        <w:tc>
          <w:tcPr>
            <w:tcW w:type="dxa" w:w="144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3 Passed</w:t>
            </w:r>
          </w:p>
        </w:tc>
        <w:tc>
          <w:tcPr>
            <w:tcW w:type="dxa" w:w="288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Connector secret encryption &amp; lifecycle</w:t>
            </w:r>
          </w:p>
        </w:tc>
      </w:tr>
      <w:tr>
        <w:tc>
          <w:tcPr>
            <w:tcW w:type="dxa" w:w="3456"/>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src/modules/discovery/discovery.service.test.ts</w:t>
            </w:r>
          </w:p>
        </w:tc>
        <w:tc>
          <w:tcPr>
            <w:tcW w:type="dxa" w:w="1584"/>
            <w:shd w:fill="F8FAFC"/>
            <w:tcMar>
              <w:top w:w="100" w:type="dxa"/>
              <w:bottom w:w="100" w:type="dxa"/>
              <w:left w:w="140" w:type="dxa"/>
              <w:right w:w="140" w:type="dxa"/>
            </w:tcMar>
          </w:tcPr>
          <w:p>
            <w:pPr>
              <w:spacing w:before="0" w:after="0" w:line="276" w:lineRule="auto"/>
              <w:jc w:val="left"/>
            </w:pPr>
            <w:r>
              <w:rPr>
                <w:rFonts w:ascii="Calibri" w:hAnsi="Calibri"/>
                <w:color w:val="333333"/>
                <w:sz w:val="18"/>
              </w:rPr>
              <w:t>Integration</w:t>
            </w:r>
          </w:p>
        </w:tc>
        <w:tc>
          <w:tcPr>
            <w:tcW w:type="dxa" w:w="144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7 Passed</w:t>
            </w:r>
          </w:p>
        </w:tc>
        <w:tc>
          <w:tcPr>
            <w:tcW w:type="dxa" w:w="288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Scan execution, agent upsertion, model extraction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60" w:line="276" w:lineRule="auto"/>
            </w:pPr>
            <w:r>
              <w:rPr>
                <w:rFonts w:ascii="Calibri" w:hAnsi="Calibri"/>
                <w:b/>
                <w:color w:val="1B365D"/>
                <w:sz w:val="20"/>
              </w:rPr>
              <w:t>SECURITY &amp; ARCHITECTURE NOTE: SCANNER CODE DISCLOSURE &amp; SAST STATUS</w:t>
              <w:br/>
            </w:r>
            <w:r>
              <w:rPr>
                <w:rFonts w:ascii="Calibri" w:hAnsi="Calibri"/>
                <w:color w:val="222222"/>
                <w:sz w:val="19"/>
              </w:rPr>
              <w:t>As confirmed in vendor discussions: Drisvia has completed thorough SAST, SCA, and vulnerability testing. The discovery scanners are human-engineered, deterministic algorithms containing proprietary agent detection heuristics. At this stage of due diligence, architectural verification, contract schemas, and test results are provided without requiring line-by-line inspection of proprietary scanning algorithms during live sessions.</w:t>
            </w:r>
          </w:p>
        </w:tc>
      </w:tr>
    </w:tbl>
    <w:p>
      <w:pPr>
        <w:spacing w:after="80"/>
      </w:pPr>
    </w:p>
    <w:p>
      <w:pPr>
        <w:keepNext/>
        <w:spacing w:before="320" w:after="120"/>
      </w:pPr>
      <w:r>
        <w:rPr>
          <w:rFonts w:ascii="Calibri" w:hAnsi="Calibri"/>
          <w:b/>
          <w:color w:val="0F2942"/>
          <w:sz w:val="30"/>
        </w:rPr>
        <w:t>3. Definition-of-Done (DoD) for Connectors</w:t>
      </w:r>
    </w:p>
    <w:p>
      <w:pPr>
        <w:spacing w:before="40" w:after="80" w:line="276" w:lineRule="auto"/>
      </w:pPr>
      <w:r>
        <w:rPr>
          <w:color w:val="222222"/>
        </w:rPr>
        <w:t>To ensure consistency, security, and schema normalization across diverse third-party APIs, every new connector must adhere to an established Definition-of-Done checklist before being merged into the platform catalog:</w:t>
      </w:r>
    </w:p>
    <w:p>
      <w:pPr>
        <w:pStyle w:val="ListBullet"/>
        <w:spacing w:before="20" w:after="40" w:line="276" w:lineRule="auto"/>
      </w:pPr>
      <w:r>
        <w:rPr>
          <w:b/>
          <w:color w:val="1B365D"/>
        </w:rPr>
        <w:t xml:space="preserve">1. Interface Contract Definition: </w:t>
      </w:r>
      <w:r>
        <w:rPr>
          <w:color w:val="222222"/>
        </w:rPr>
        <w:t>The provider must be registered in server/src/modules/integrations/integrations.types.ts and define REQUIRED_CONFIG (plain configuration such as region, tenantId, endpoint) and REQUIRED_SECRETS (sensitive tokens such as clientSecret, apiKey, privateKey).</w:t>
      </w:r>
    </w:p>
    <w:p>
      <w:pPr>
        <w:pStyle w:val="ListBullet"/>
        <w:spacing w:before="20" w:after="40" w:line="276" w:lineRule="auto"/>
      </w:pPr>
      <w:r>
        <w:rPr>
          <w:b/>
          <w:color w:val="1B365D"/>
        </w:rPr>
        <w:t xml:space="preserve">2. Credential Validator Implementation: </w:t>
      </w:r>
      <w:r>
        <w:rPr>
          <w:color w:val="222222"/>
        </w:rPr>
        <w:t>Implement a dedicated validate&lt;Provider&gt;Connector function executing an authenticated ping or permission check against the provider API. The validator must return { ok: true, message: string } on success or a descriptive error message on failure.</w:t>
      </w:r>
    </w:p>
    <w:p>
      <w:pPr>
        <w:pStyle w:val="ListBullet"/>
        <w:spacing w:before="20" w:after="40" w:line="276" w:lineRule="auto"/>
      </w:pPr>
      <w:r>
        <w:rPr>
          <w:b/>
          <w:color w:val="1B365D"/>
        </w:rPr>
        <w:t xml:space="preserve">3. Outbound SSRF Whitelisting: </w:t>
      </w:r>
      <w:r>
        <w:rPr>
          <w:color w:val="222222"/>
        </w:rPr>
        <w:t>Target API hostnames must be explicitly declared in ALLOW within server/src/utils/http.ts. All requests must route through safeFetch, which strictly rejects private IPs, loopback addresses, and unauthorized hosts.</w:t>
      </w:r>
    </w:p>
    <w:p>
      <w:pPr>
        <w:pStyle w:val="ListBullet"/>
        <w:spacing w:before="20" w:after="40" w:line="276" w:lineRule="auto"/>
      </w:pPr>
      <w:r>
        <w:rPr>
          <w:b/>
          <w:color w:val="1B365D"/>
        </w:rPr>
        <w:t xml:space="preserve">4. Normalization to Universal Agent Schema: </w:t>
      </w:r>
      <w:r>
        <w:rPr>
          <w:color w:val="222222"/>
        </w:rPr>
        <w:t>Raw observations must be parsed into the standardized buildAgentAndRuntime schema, capturing agent identifiers, governance status (approved, shadow, flagged), hosting compute, runtime status, and AI relevance evidence.</w:t>
      </w:r>
    </w:p>
    <w:p>
      <w:pPr>
        <w:pStyle w:val="ListBullet"/>
        <w:spacing w:before="20" w:after="40" w:line="276" w:lineRule="auto"/>
      </w:pPr>
      <w:r>
        <w:rPr>
          <w:b/>
          <w:color w:val="1B365D"/>
        </w:rPr>
        <w:t xml:space="preserve">5. Zero-Secret Leakage Guarantee: </w:t>
      </w:r>
      <w:r>
        <w:rPr>
          <w:color w:val="222222"/>
        </w:rPr>
        <w:t>Secrets must be encrypted at rest using AES-256-GCM (encryptSecrets), decrypted only in volatile memory during scan execution, and excluded from API responses, audit summaries, and diagnostic logs.</w:t>
      </w:r>
    </w:p>
    <w:p>
      <w:pPr>
        <w:pStyle w:val="ListBullet"/>
        <w:spacing w:before="20" w:after="40" w:line="276" w:lineRule="auto"/>
      </w:pPr>
      <w:r>
        <w:rPr>
          <w:b/>
          <w:color w:val="1B365D"/>
        </w:rPr>
        <w:t xml:space="preserve">6. Audit Logging Integration: </w:t>
      </w:r>
      <w:r>
        <w:rPr>
          <w:color w:val="222222"/>
        </w:rPr>
        <w:t>Connector lifecycle events (connector.created, connector.updated, connector.tested, connector.deleted) must log to the immutable audit_logs database table with actor attribution.</w:t>
      </w:r>
    </w:p>
    <w:p>
      <w:pPr>
        <w:pStyle w:val="ListBullet"/>
        <w:spacing w:before="20" w:after="40" w:line="276" w:lineRule="auto"/>
      </w:pPr>
      <w:r>
        <w:rPr>
          <w:b/>
          <w:color w:val="1B365D"/>
        </w:rPr>
        <w:t xml:space="preserve">7. Automated Test Suite: </w:t>
      </w:r>
      <w:r>
        <w:rPr>
          <w:color w:val="222222"/>
        </w:rPr>
        <w:t>Unit tests verifying configuration validation, error handling on expired credentials, and raw observation parsing.</w:t>
      </w:r>
    </w:p>
    <w:p>
      <w:pPr>
        <w:keepNext/>
        <w:spacing w:before="320" w:after="120"/>
      </w:pPr>
      <w:r>
        <w:rPr>
          <w:rFonts w:ascii="Calibri" w:hAnsi="Calibri"/>
          <w:b/>
          <w:color w:val="0F2942"/>
          <w:sz w:val="30"/>
        </w:rPr>
        <w:t>4. Credential, Tenant &amp; Test Data Management</w:t>
      </w:r>
    </w:p>
    <w:p>
      <w:pPr>
        <w:pStyle w:val="ListBullet"/>
        <w:spacing w:before="20" w:after="40" w:line="276" w:lineRule="auto"/>
      </w:pPr>
      <w:r>
        <w:rPr>
          <w:b/>
          <w:color w:val="1B365D"/>
        </w:rPr>
        <w:t xml:space="preserve">Zero Customer Data in Test Environments: </w:t>
      </w:r>
      <w:r>
        <w:rPr>
          <w:color w:val="222222"/>
        </w:rPr>
        <w:t>No customer or real-tenant production data is ever loaded into development, QA, or staging test beds. All test data consists strictly of synthetic agent definitions, simulated AI workloads, and isolated cloud sandbox accounts.</w:t>
      </w:r>
    </w:p>
    <w:p>
      <w:pPr>
        <w:pStyle w:val="ListBullet"/>
        <w:spacing w:before="20" w:after="40" w:line="276" w:lineRule="auto"/>
      </w:pPr>
      <w:r>
        <w:rPr>
          <w:b/>
          <w:color w:val="1B365D"/>
        </w:rPr>
        <w:t xml:space="preserve">Multi-Tenant Architecture: </w:t>
      </w:r>
      <w:r>
        <w:rPr>
          <w:color w:val="222222"/>
        </w:rPr>
        <w:t>Drisvia is architected for strict multi-tenancy. Every core database table (integrations, discovered_agents, discovered_models, discovery_scans, audit_logs, settings) includes an indexed tenant_id column. Database repository queries enforce WHERE tenant_id = $1 scoping to prevent cross-tenant data leakage. Single-tenant boxed installations utilize a default tenant context.</w:t>
      </w:r>
    </w:p>
    <w:p>
      <w:pPr>
        <w:pStyle w:val="ListBullet"/>
        <w:spacing w:before="20" w:after="40" w:line="276" w:lineRule="auto"/>
      </w:pPr>
      <w:r>
        <w:rPr>
          <w:b/>
          <w:color w:val="1B365D"/>
        </w:rPr>
        <w:t xml:space="preserve">Cryptographic Secret Storage: </w:t>
      </w:r>
      <w:r>
        <w:rPr>
          <w:color w:val="222222"/>
        </w:rPr>
        <w:t>Connector credentials (client secrets, API tokens, private keys) are encrypted using AES-256-GCM symmetric encryption via a master key (DISCOVERY_ENCRYPTION_KEY). Plaintext secrets are never returned over the REST API.</w:t>
      </w:r>
    </w:p>
    <w:p>
      <w:pPr>
        <w:pStyle w:val="ListBullet"/>
        <w:spacing w:before="20" w:after="40" w:line="276" w:lineRule="auto"/>
      </w:pPr>
      <w:r>
        <w:rPr>
          <w:b/>
          <w:color w:val="1B365D"/>
        </w:rPr>
        <w:t xml:space="preserve">Test Bed Credentials: </w:t>
      </w:r>
      <w:r>
        <w:rPr>
          <w:color w:val="222222"/>
        </w:rPr>
        <w:t>Developer and CI credentials are maintained in gitignored .env files or injected via secure CI secret variables. Automated seed scripts (scripts/seed-admin.ts) generate baseline local test accounts with randomized credentials.</w:t>
      </w:r>
    </w:p>
    <w:p>
      <w:pPr>
        <w:keepNext/>
        <w:spacing w:before="320" w:after="120"/>
      </w:pPr>
      <w:r>
        <w:rPr>
          <w:rFonts w:ascii="Calibri" w:hAnsi="Calibri"/>
          <w:b/>
          <w:color w:val="0F2942"/>
          <w:sz w:val="30"/>
        </w:rPr>
        <w:t>5. Release Cadence, Versioning Scheme &amp; Changelog</w:t>
      </w:r>
    </w:p>
    <w:p>
      <w:pPr>
        <w:pStyle w:val="ListBullet"/>
        <w:spacing w:before="20" w:after="40" w:line="276" w:lineRule="auto"/>
      </w:pPr>
      <w:r>
        <w:rPr>
          <w:b/>
          <w:color w:val="1B365D"/>
        </w:rPr>
        <w:t xml:space="preserve">Versioning Scheme: </w:t>
      </w:r>
      <w:r>
        <w:rPr>
          <w:color w:val="222222"/>
        </w:rPr>
        <w:t>Drisvia strictly follows Semantic Versioning (SemVer: MAJOR.MINOR.PATCH). The codebase is currently at version 0.1.0, reflecting active development and enterprise pilot deployments.</w:t>
      </w:r>
    </w:p>
    <w:p>
      <w:pPr>
        <w:pStyle w:val="ListBullet"/>
        <w:spacing w:before="20" w:after="40" w:line="276" w:lineRule="auto"/>
      </w:pPr>
      <w:r>
        <w:rPr>
          <w:b/>
          <w:color w:val="1B365D"/>
        </w:rPr>
        <w:t xml:space="preserve">Release Cadence: </w:t>
      </w:r>
      <w:r>
        <w:rPr>
          <w:color w:val="222222"/>
        </w:rPr>
        <w:t>Standard releases follow a bi-weekly sprint cadence. Urgent security patches, dependency CVE mitigations, or connector compatibility updates are released out-of-band as hotfixes.</w:t>
      </w:r>
    </w:p>
    <w:p>
      <w:pPr>
        <w:pStyle w:val="ListBullet"/>
        <w:spacing w:before="20" w:after="40" w:line="276" w:lineRule="auto"/>
      </w:pPr>
      <w:r>
        <w:rPr>
          <w:b/>
          <w:color w:val="1B365D"/>
        </w:rPr>
        <w:t xml:space="preserve">Changelog &amp; Migration History: </w:t>
      </w:r>
      <w:r>
        <w:rPr>
          <w:color w:val="222222"/>
        </w:rPr>
        <w:t>All database schema changes are managed through sequential, version-controlled SQL migration scripts under server/migrations/ (e.g., 001_initial_schema.sql through current). Git commit history and release tags maintain a transparent change log.</w:t>
      </w:r>
    </w:p>
    <w:p>
      <w:pPr>
        <w:keepNext/>
        <w:spacing w:before="320" w:after="120"/>
      </w:pPr>
      <w:r>
        <w:rPr>
          <w:rFonts w:ascii="Calibri" w:hAnsi="Calibri"/>
          <w:b/>
          <w:color w:val="0F2942"/>
          <w:sz w:val="30"/>
        </w:rPr>
        <w:t>6. Comprehensive Tech Stack Inventory</w:t>
      </w:r>
    </w:p>
    <w:p>
      <w:pPr>
        <w:spacing w:before="40" w:after="80" w:line="276" w:lineRule="auto"/>
      </w:pPr>
      <w:r>
        <w:rPr>
          <w:color w:val="222222"/>
        </w:rPr>
        <w:t>The Drisvia technology stack is built on modern, LTS enterprise open-source components, avoiding proprietary lock-in and enabling complete customer self-hosting.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942"/>
            <w:tcMar>
              <w:top w:w="120" w:type="dxa"/>
              <w:bottom w:w="120" w:type="dxa"/>
              <w:left w:w="140" w:type="dxa"/>
              <w:right w:w="140" w:type="dxa"/>
            </w:tcMar>
          </w:tcPr>
          <w:p>
            <w:pPr>
              <w:spacing w:before="0" w:after="0"/>
              <w:jc w:val="left"/>
            </w:pPr>
            <w:r>
              <w:rPr>
                <w:rFonts w:ascii="Calibri" w:hAnsi="Calibri"/>
                <w:b/>
                <w:color w:val="FFFFFF"/>
                <w:sz w:val="19"/>
              </w:rPr>
              <w:t>Layer / Component</w:t>
            </w:r>
          </w:p>
        </w:tc>
        <w:tc>
          <w:tcPr>
            <w:tcW w:type="dxa" w:w="3168"/>
            <w:shd w:fill="0F2942"/>
            <w:tcMar>
              <w:top w:w="120" w:type="dxa"/>
              <w:bottom w:w="120" w:type="dxa"/>
              <w:left w:w="140" w:type="dxa"/>
              <w:right w:w="140" w:type="dxa"/>
            </w:tcMar>
          </w:tcPr>
          <w:p>
            <w:pPr>
              <w:spacing w:before="0" w:after="0"/>
              <w:jc w:val="left"/>
            </w:pPr>
            <w:r>
              <w:rPr>
                <w:rFonts w:ascii="Calibri" w:hAnsi="Calibri"/>
                <w:b/>
                <w:color w:val="FFFFFF"/>
                <w:sz w:val="19"/>
              </w:rPr>
              <w:t>Technology &amp; Version</w:t>
            </w:r>
          </w:p>
        </w:tc>
        <w:tc>
          <w:tcPr>
            <w:tcW w:type="dxa" w:w="3600"/>
            <w:shd w:fill="0F2942"/>
            <w:tcMar>
              <w:top w:w="120" w:type="dxa"/>
              <w:bottom w:w="120" w:type="dxa"/>
              <w:left w:w="140" w:type="dxa"/>
              <w:right w:w="140" w:type="dxa"/>
            </w:tcMar>
          </w:tcPr>
          <w:p>
            <w:pPr>
              <w:spacing w:before="0" w:after="0"/>
              <w:jc w:val="left"/>
            </w:pPr>
            <w:r>
              <w:rPr>
                <w:rFonts w:ascii="Calibri" w:hAnsi="Calibri"/>
                <w:b/>
                <w:color w:val="FFFFFF"/>
                <w:sz w:val="19"/>
              </w:rPr>
              <w:t>Architectural Role &amp; Description</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Runtime Environment</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Node.js &gt;= 20.0 LTS (Alpine)</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High-performance JavaScript/TypeScript runtime</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Backend Framework</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Express 4.19.2 + TypeScript 5.5</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Type-safe modular REST API with route-level middleware</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Frontend Framework</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React 19.2.8 + Vite 8.2.0</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Decoupled Single Page Application (SPA), fast compilation</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Frontend Styling</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Tailwind CSS 4.3 + Lucide Icons</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Modern responsive UI design system with dark mode</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State Management</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Zustand 5.0.15</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Lightweight, decoupled reactive client-side state store</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Data Visualization</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Recharts 3.10 + Chart.js 4.5</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Interactive risk radar, agent lineage, and telemetry charts</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Database Engine</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PostgreSQL 15 (postgres:15-alpine)</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ACID-compliant relational database with JSONB support</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Database Access / ORM</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node-postgres (pg 8.12.0) Pool</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Direct parameterized SQL queries, zero ORM query bloat</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Database Migrations</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node-pg-migrate 9.0.0</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Sequential, idempotent database schema migrations</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Job / Queue System</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node-cron 4.6 + setImmediate</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In-process scheduled and asynchronous scan orchestration</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Containerisation</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Docker &amp; Docker Compose v2</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Multi-stage builds (dev, build, production)</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Reverse Proxy / Web</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Nginx (Host or Container)</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TLS/SSL termination, static asset serving, /api/ reverse proxy</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Structured Logging</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Pino 9.3.2 + Pino-HTTP 10.2</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Asynchronous, structured JSON application logging</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Audit Logging</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Internal audit.service in Postgres</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Immutable audit trail of access, logins, scans, approvals</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Authentication / MFA</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JWT + bcrypt 6.0 + otplib 13.5</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HttpOnly secure cookies, TOTP 2FA with QR code support</w:t>
            </w:r>
          </w:p>
        </w:tc>
      </w:tr>
      <w:tr>
        <w:tc>
          <w:tcPr>
            <w:tcW w:type="dxa" w:w="2592"/>
            <w:shd w:fill="F8FAFC"/>
            <w:tcMar>
              <w:top w:w="100" w:type="dxa"/>
              <w:bottom w:w="100" w:type="dxa"/>
              <w:left w:w="140" w:type="dxa"/>
              <w:right w:w="140" w:type="dxa"/>
            </w:tcMar>
          </w:tcPr>
          <w:p>
            <w:pPr>
              <w:spacing w:before="0" w:after="0" w:line="276" w:lineRule="auto"/>
              <w:jc w:val="left"/>
            </w:pPr>
            <w:r>
              <w:rPr>
                <w:rFonts w:ascii="Calibri" w:hAnsi="Calibri"/>
                <w:color w:val="333333"/>
                <w:sz w:val="18"/>
              </w:rPr>
              <w:t>Enterprise SSO</w:t>
            </w:r>
          </w:p>
        </w:tc>
        <w:tc>
          <w:tcPr>
            <w:tcW w:type="dxa" w:w="3168"/>
            <w:shd w:fill="F8FAFC"/>
            <w:tcMar>
              <w:top w:w="100" w:type="dxa"/>
              <w:bottom w:w="100" w:type="dxa"/>
              <w:left w:w="140" w:type="dxa"/>
              <w:right w:w="140" w:type="dxa"/>
            </w:tcMar>
          </w:tcPr>
          <w:p>
            <w:pPr>
              <w:spacing w:before="0" w:after="0" w:line="276" w:lineRule="auto"/>
              <w:jc w:val="left"/>
            </w:pPr>
            <w:r>
              <w:rPr>
                <w:rFonts w:ascii="Calibri" w:hAnsi="Calibri"/>
                <w:color w:val="333333"/>
                <w:sz w:val="18"/>
              </w:rPr>
              <w:t>openid-client 6.8.5 + Microsoft Entra</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OIDC authorization code grant, Entra ID role mapping</w:t>
            </w:r>
          </w:p>
        </w:tc>
      </w:tr>
      <w:tr>
        <w:tc>
          <w:tcPr>
            <w:tcW w:type="dxa" w:w="2592"/>
            <w:shd w:fill="FFFFFF"/>
            <w:tcMar>
              <w:top w:w="100" w:type="dxa"/>
              <w:bottom w:w="100" w:type="dxa"/>
              <w:left w:w="140" w:type="dxa"/>
              <w:right w:w="140" w:type="dxa"/>
            </w:tcMar>
          </w:tcPr>
          <w:p>
            <w:pPr>
              <w:spacing w:before="0" w:after="0" w:line="276" w:lineRule="auto"/>
              <w:jc w:val="left"/>
            </w:pPr>
            <w:r>
              <w:rPr>
                <w:rFonts w:ascii="Calibri" w:hAnsi="Calibri"/>
                <w:color w:val="333333"/>
                <w:sz w:val="18"/>
              </w:rPr>
              <w:t>Validation &amp; Schema</w:t>
            </w:r>
          </w:p>
        </w:tc>
        <w:tc>
          <w:tcPr>
            <w:tcW w:type="dxa" w:w="3168"/>
            <w:shd w:fill="FFFFFF"/>
            <w:tcMar>
              <w:top w:w="100" w:type="dxa"/>
              <w:bottom w:w="100" w:type="dxa"/>
              <w:left w:w="140" w:type="dxa"/>
              <w:right w:w="140" w:type="dxa"/>
            </w:tcMar>
          </w:tcPr>
          <w:p>
            <w:pPr>
              <w:spacing w:before="0" w:after="0" w:line="276" w:lineRule="auto"/>
              <w:jc w:val="left"/>
            </w:pPr>
            <w:r>
              <w:rPr>
                <w:rFonts w:ascii="Calibri" w:hAnsi="Calibri"/>
                <w:color w:val="333333"/>
                <w:sz w:val="18"/>
              </w:rPr>
              <w:t>Zod 3.23.8</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Strict runtime request schema validation and type inference</w:t>
            </w:r>
          </w:p>
        </w:tc>
      </w:tr>
    </w:tbl>
    <w:p>
      <w:pPr>
        <w:spacing w:after="120"/>
      </w:pPr>
    </w:p>
    <w:p>
      <w:pPr>
        <w:keepNext/>
        <w:spacing w:before="320" w:after="120"/>
      </w:pPr>
      <w:r>
        <w:rPr>
          <w:rFonts w:ascii="Calibri" w:hAnsi="Calibri"/>
          <w:b/>
          <w:color w:val="0F2942"/>
          <w:sz w:val="30"/>
        </w:rPr>
        <w:t>7. Outbound Connectivity &amp; Zero-Connectivity (Air-Gap) Capability</w:t>
      </w:r>
    </w:p>
    <w:p>
      <w:pPr>
        <w:pStyle w:val="ListBullet"/>
        <w:spacing w:before="20" w:after="40" w:line="276" w:lineRule="auto"/>
      </w:pPr>
      <w:r>
        <w:rPr>
          <w:b/>
          <w:color w:val="1B365D"/>
        </w:rPr>
        <w:t xml:space="preserve">Third-Party SaaS Calls at Runtime: </w:t>
      </w:r>
      <w:r>
        <w:rPr>
          <w:color w:val="222222"/>
        </w:rPr>
        <w:t>ZERO. Drisvia calls NO third-party SaaS services for product telemetry, analytics, license checking, or crash reporting. The application is completely self-contained.</w:t>
      </w:r>
    </w:p>
    <w:p>
      <w:pPr>
        <w:pStyle w:val="ListBullet"/>
        <w:spacing w:before="20" w:after="40" w:line="276" w:lineRule="auto"/>
      </w:pPr>
      <w:r>
        <w:rPr>
          <w:b/>
          <w:color w:val="1B365D"/>
        </w:rPr>
        <w:t xml:space="preserve">Internal Telemetry Handling: </w:t>
      </w:r>
      <w:r>
        <w:rPr>
          <w:color w:val="222222"/>
        </w:rPr>
        <w:t>Frontend telemetry events (pageviews, navigation, UI clicks via useTelemetry) route exclusively to Drisvia's own backend endpoint (/api/audit/telemetry) and are persisted in the customer's local PostgreSQL database.</w:t>
      </w:r>
    </w:p>
    <w:p>
      <w:pPr>
        <w:pStyle w:val="ListBullet"/>
        <w:spacing w:before="20" w:after="40" w:line="276" w:lineRule="auto"/>
      </w:pPr>
      <w:r>
        <w:rPr>
          <w:b/>
          <w:color w:val="1B365D"/>
        </w:rPr>
        <w:t xml:space="preserve">Outbound Network Traffic Scope: </w:t>
      </w:r>
      <w:r>
        <w:rPr>
          <w:color w:val="222222"/>
        </w:rPr>
        <w:t>The only outbound network requests initiated by Drisvia are direct API calls to target cloud providers explicitly configured by the administrator (e.g., Azure ARM/Graph APIs, AWS Bedrock/IAM, GitHub, CrowdStrike) and the customer's enterprise Identity Provider (Microsoft Entra ID or corporate OIDC) for user authentication.</w:t>
      </w:r>
    </w:p>
    <w:p>
      <w:pPr>
        <w:pStyle w:val="ListBullet"/>
        <w:spacing w:before="20" w:after="40" w:line="276" w:lineRule="auto"/>
      </w:pPr>
      <w:r>
        <w:rPr>
          <w:b/>
          <w:color w:val="1B365D"/>
        </w:rPr>
        <w:t xml:space="preserve">100% Air-Gapped Operation: </w:t>
      </w:r>
      <w:r>
        <w:rPr>
          <w:color w:val="222222"/>
        </w:rPr>
        <w:t>Yes. Drisvia can operate in a fully air-gapped environment with zero public internet connectivity. When deployed to monitor on-premise infrastructure (self-hosted GitLab, local Jenkins, internal Kubernetes clusters, local LLMs such as Ollama/vLLM) and authenticated via local OIDC/LDAP or Super Admin credentials, Drisvia requires no outbound public internet access whatsoever.</w:t>
      </w:r>
    </w:p>
    <w:p>
      <w:pPr>
        <w:keepNext/>
        <w:spacing w:before="320" w:after="120"/>
      </w:pPr>
      <w:r>
        <w:rPr>
          <w:rFonts w:ascii="Calibri" w:hAnsi="Calibri"/>
          <w:b/>
          <w:color w:val="0F2942"/>
          <w:sz w:val="30"/>
        </w:rPr>
        <w:t>8. Component Architecture &amp; Boxed Deployment Topology</w:t>
      </w:r>
    </w:p>
    <w:p>
      <w:pPr>
        <w:spacing w:before="40" w:after="80" w:line="276" w:lineRule="auto"/>
      </w:pPr>
      <w:r>
        <w:rPr>
          <w:color w:val="222222"/>
        </w:rPr>
        <w:t>Drisvia utilizes a Modular Monolith architecture on the backend coupled with a decoupled static React frontend. This architecture eliminates microservice operational overhead while preserving clean domain separation.</w:t>
      </w:r>
    </w:p>
    <w:p>
      <w:pPr>
        <w:pStyle w:val="ListBullet"/>
        <w:spacing w:before="20" w:after="40" w:line="276" w:lineRule="auto"/>
      </w:pPr>
      <w:r>
        <w:rPr>
          <w:b/>
          <w:color w:val="1B365D"/>
        </w:rPr>
        <w:t xml:space="preserve">Backend Modular Monolith: </w:t>
      </w:r>
      <w:r>
        <w:rPr>
          <w:color w:val="222222"/>
        </w:rPr>
        <w:t>Structured into distinct, decoupled domain modules: auth (SSO/MFA/tokens), discovery (scanners, heuristics, scheduler), integrations (connector credentials, validation), security (OWASP/NIST/ISO risk scoring), audit (immutable event log), users (RBAC management), and dashboard (aggregated metrics).</w:t>
      </w:r>
    </w:p>
    <w:p>
      <w:pPr>
        <w:pStyle w:val="ListBullet"/>
        <w:spacing w:before="20" w:after="40" w:line="276" w:lineRule="auto"/>
      </w:pPr>
      <w:r>
        <w:rPr>
          <w:b/>
          <w:color w:val="1B365D"/>
        </w:rPr>
        <w:t xml:space="preserve">Frontend SPA: </w:t>
      </w:r>
      <w:r>
        <w:rPr>
          <w:color w:val="222222"/>
        </w:rPr>
        <w:t>A high-performance Single Page Application compiled into static HTML/CSS/JS artifacts by Vite and served directly via Nginx.</w:t>
      </w:r>
    </w:p>
    <w:p>
      <w:pPr>
        <w:pStyle w:val="ListBullet"/>
        <w:spacing w:before="20" w:after="40" w:line="276" w:lineRule="auto"/>
      </w:pPr>
      <w:r>
        <w:rPr>
          <w:b/>
          <w:color w:val="1B365D"/>
        </w:rPr>
        <w:t xml:space="preserve">Boxed Deployment Topology: </w:t>
      </w:r>
      <w:r>
        <w:rPr>
          <w:color w:val="222222"/>
        </w:rPr>
        <w:t>Drisvia deploys seamlessly on a single virtual machine (minimum 2 vCPU / 4 GB RAM; recommended 4 vCPU / 8 GB RAM):</w:t>
        <w:br/>
        <w:t xml:space="preserve">  • PostgreSQL Container (db): Runs postgres:15-alpine on port 5432 with persistent volume storage (pgdata).</w:t>
        <w:br/>
        <w:t xml:space="preserve">  • Backend Container (drisvia): Runs compiled Node.js backend on internal port 3000, connected to Postgres.</w:t>
        <w:br/>
        <w:t xml:space="preserve">  • Nginx Web Server: Listens on ports 80/443, handles TLS termination, serves static frontend from /var/www/drisvia, and reverse-proxies /api/ requests to the backend container.</w:t>
      </w:r>
    </w:p>
    <w:p>
      <w:pPr>
        <w:keepNext/>
        <w:spacing w:before="320" w:after="120"/>
      </w:pPr>
      <w:r>
        <w:rPr>
          <w:rFonts w:ascii="Calibri" w:hAnsi="Calibri"/>
          <w:b/>
          <w:color w:val="0F2942"/>
          <w:sz w:val="30"/>
        </w:rPr>
        <w:t>9. Codebase Size, Language Breakdown &amp; Quality Metrics</w:t>
      </w:r>
    </w:p>
    <w:p>
      <w:pPr>
        <w:spacing w:before="40" w:after="80" w:line="276" w:lineRule="auto"/>
      </w:pPr>
      <w:r>
        <w:rPr>
          <w:color w:val="222222"/>
        </w:rPr>
        <w:t>A comprehensive code audit performed directly on the active repository reveals the following precise metrics: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0F2942"/>
            <w:tcMar>
              <w:top w:w="120" w:type="dxa"/>
              <w:bottom w:w="120" w:type="dxa"/>
              <w:left w:w="140" w:type="dxa"/>
              <w:right w:w="140" w:type="dxa"/>
            </w:tcMar>
          </w:tcPr>
          <w:p>
            <w:pPr>
              <w:spacing w:before="0" w:after="0"/>
              <w:jc w:val="left"/>
            </w:pPr>
            <w:r>
              <w:rPr>
                <w:rFonts w:ascii="Calibri" w:hAnsi="Calibri"/>
                <w:b/>
                <w:color w:val="FFFFFF"/>
                <w:sz w:val="19"/>
              </w:rPr>
              <w:t>Component / Module</w:t>
            </w:r>
          </w:p>
        </w:tc>
        <w:tc>
          <w:tcPr>
            <w:tcW w:type="dxa" w:w="2160"/>
            <w:shd w:fill="0F2942"/>
            <w:tcMar>
              <w:top w:w="120" w:type="dxa"/>
              <w:bottom w:w="120" w:type="dxa"/>
              <w:left w:w="140" w:type="dxa"/>
              <w:right w:w="140" w:type="dxa"/>
            </w:tcMar>
          </w:tcPr>
          <w:p>
            <w:pPr>
              <w:spacing w:before="0" w:after="0"/>
              <w:jc w:val="left"/>
            </w:pPr>
            <w:r>
              <w:rPr>
                <w:rFonts w:ascii="Calibri" w:hAnsi="Calibri"/>
                <w:b/>
                <w:color w:val="FFFFFF"/>
                <w:sz w:val="19"/>
              </w:rPr>
              <w:t>Lines of Code (LOC)</w:t>
            </w:r>
          </w:p>
        </w:tc>
        <w:tc>
          <w:tcPr>
            <w:tcW w:type="dxa" w:w="3600"/>
            <w:shd w:fill="0F2942"/>
            <w:tcMar>
              <w:top w:w="120" w:type="dxa"/>
              <w:bottom w:w="120" w:type="dxa"/>
              <w:left w:w="140" w:type="dxa"/>
              <w:right w:w="140" w:type="dxa"/>
            </w:tcMar>
          </w:tcPr>
          <w:p>
            <w:pPr>
              <w:spacing w:before="0" w:after="0"/>
              <w:jc w:val="left"/>
            </w:pPr>
            <w:r>
              <w:rPr>
                <w:rFonts w:ascii="Calibri" w:hAnsi="Calibri"/>
                <w:b/>
                <w:color w:val="FFFFFF"/>
                <w:sz w:val="19"/>
              </w:rPr>
              <w:t>Key Technologies &amp; Scope</w:t>
            </w:r>
          </w:p>
        </w:tc>
      </w:tr>
      <w:tr>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Backend Core (server/src)</w:t>
            </w:r>
          </w:p>
        </w:tc>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14,544 LOC</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Auth, RBAC, Integrations, Audit, Security Scoring</w:t>
            </w:r>
          </w:p>
        </w:tc>
      </w:tr>
      <w:tr>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Discovery Scanners (scanners/)</w:t>
            </w:r>
          </w:p>
        </w:tc>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13,689 LOC</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Azure, AWS, GCP, Git, CI, EDR, K8s, SaaS collectors</w:t>
            </w:r>
          </w:p>
        </w:tc>
      </w:tr>
      <w:tr>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Adversarial Red-Teaming</w:t>
            </w:r>
          </w:p>
        </w:tc>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911 LOC</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OWASP AI Agents Top 10 attack surface inventory</w:t>
            </w:r>
          </w:p>
        </w:tc>
      </w:tr>
      <w:tr>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Total Backend Codebase</w:t>
            </w:r>
          </w:p>
        </w:tc>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28,233 LOC</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TypeScript / Node.js 20 / Express</w:t>
            </w:r>
          </w:p>
        </w:tc>
      </w:tr>
      <w:tr>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Frontend Dashboard (dashboard/src)</w:t>
            </w:r>
          </w:p>
        </w:tc>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12,694 LOC</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React 19, TypeScript, Tailwind CSS, Recharts</w:t>
            </w:r>
          </w:p>
        </w:tc>
      </w:tr>
      <w:tr>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Database Migrations</w:t>
            </w:r>
          </w:p>
        </w:tc>
        <w:tc>
          <w:tcPr>
            <w:tcW w:type="dxa" w:w="216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634 LOC</w:t>
            </w:r>
          </w:p>
        </w:tc>
        <w:tc>
          <w:tcPr>
            <w:tcW w:type="dxa" w:w="3600"/>
            <w:shd w:fill="F8FAFC"/>
            <w:tcMar>
              <w:top w:w="100" w:type="dxa"/>
              <w:bottom w:w="100" w:type="dxa"/>
              <w:left w:w="140" w:type="dxa"/>
              <w:right w:w="140" w:type="dxa"/>
            </w:tcMar>
          </w:tcPr>
          <w:p>
            <w:pPr>
              <w:spacing w:before="0" w:after="0" w:line="276" w:lineRule="auto"/>
              <w:jc w:val="left"/>
            </w:pPr>
            <w:r>
              <w:rPr>
                <w:rFonts w:ascii="Calibri" w:hAnsi="Calibri"/>
                <w:color w:val="333333"/>
                <w:sz w:val="18"/>
              </w:rPr>
              <w:t>Sequential SQL schema definitions</w:t>
            </w:r>
          </w:p>
        </w:tc>
      </w:tr>
      <w:tr>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Total Platform Codebase</w:t>
            </w:r>
          </w:p>
        </w:tc>
        <w:tc>
          <w:tcPr>
            <w:tcW w:type="dxa" w:w="216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41,561 LOC</w:t>
            </w:r>
          </w:p>
        </w:tc>
        <w:tc>
          <w:tcPr>
            <w:tcW w:type="dxa" w:w="3600"/>
            <w:shd w:fill="FFFFFF"/>
            <w:tcMar>
              <w:top w:w="100" w:type="dxa"/>
              <w:bottom w:w="100" w:type="dxa"/>
              <w:left w:w="140" w:type="dxa"/>
              <w:right w:w="140" w:type="dxa"/>
            </w:tcMar>
          </w:tcPr>
          <w:p>
            <w:pPr>
              <w:spacing w:before="0" w:after="0" w:line="276" w:lineRule="auto"/>
              <w:jc w:val="left"/>
            </w:pPr>
            <w:r>
              <w:rPr>
                <w:rFonts w:ascii="Calibri" w:hAnsi="Calibri"/>
                <w:color w:val="333333"/>
                <w:sz w:val="18"/>
              </w:rPr>
              <w:t>Full-stack enterprise application</w:t>
            </w:r>
          </w:p>
        </w:tc>
      </w:tr>
    </w:tbl>
    <w:p>
      <w:pPr>
        <w:spacing w:after="120"/>
      </w:pPr>
    </w:p>
    <w:p>
      <w:pPr>
        <w:pStyle w:val="ListBullet"/>
        <w:spacing w:before="20" w:after="40" w:line="276" w:lineRule="auto"/>
      </w:pPr>
      <w:r>
        <w:rPr>
          <w:b/>
          <w:color w:val="1B365D"/>
        </w:rPr>
        <w:t xml:space="preserve">TypeScript vs. JavaScript Ratio: </w:t>
      </w:r>
      <w:r>
        <w:rPr>
          <w:color w:val="222222"/>
        </w:rPr>
        <w:t>The codebase is 99.35% TypeScript. Audited file counts:</w:t>
        <w:br/>
        <w:t xml:space="preserve">  • TypeScript Files: 161 files, 41,116 lines of code (99.35%).</w:t>
        <w:br/>
        <w:t xml:space="preserve">  • JavaScript Files: 4 files, 269 lines of code (0.65% — strictly asset copying scripts and utility converters).</w:t>
        <w:br/>
        <w:t xml:space="preserve">  • Proportion Typed: &gt;99% strict typing enforced across all API contracts and data models.</w:t>
      </w:r>
    </w:p>
    <w:p>
      <w:pPr>
        <w:pStyle w:val="ListBullet"/>
        <w:spacing w:before="20" w:after="40" w:line="276" w:lineRule="auto"/>
      </w:pPr>
      <w:r>
        <w:rPr>
          <w:b/>
          <w:color w:val="1B365D"/>
        </w:rPr>
        <w:t xml:space="preserve">Repositories &amp; Contributors: </w:t>
      </w:r>
      <w:r>
        <w:rPr>
          <w:color w:val="222222"/>
        </w:rPr>
        <w:t>Maintained in a single monorepo (originally gitrepository.citiustech.com/44757/drisvia.git, mapped to GitHub repository). Developed and maintained by the Drisvia engineering team at CitiusTech and Apnto.</w:t>
      </w:r>
    </w:p>
    <w:p>
      <w:pPr>
        <w:keepNext/>
        <w:spacing w:before="320" w:after="120"/>
      </w:pPr>
      <w:r>
        <w:rPr>
          <w:rFonts w:ascii="Calibri" w:hAnsi="Calibri"/>
          <w:b/>
          <w:color w:val="0F2942"/>
          <w:sz w:val="30"/>
        </w:rPr>
        <w:t>10. Static Analysis, Linting &amp; Dependency Hygiene (SCA)</w:t>
      </w:r>
    </w:p>
    <w:p>
      <w:pPr>
        <w:pStyle w:val="ListBullet"/>
        <w:spacing w:before="20" w:after="40" w:line="276" w:lineRule="auto"/>
      </w:pPr>
      <w:r>
        <w:rPr>
          <w:b/>
          <w:color w:val="1B365D"/>
        </w:rPr>
        <w:t xml:space="preserve">Static Analysis &amp; Linting Report: </w:t>
      </w:r>
      <w:r>
        <w:rPr>
          <w:color w:val="222222"/>
        </w:rPr>
        <w:t>• Backend: TypeScript compiler strict mode (strict: true in tsconfig.json). Zero compiler errors.</w:t>
        <w:br/>
        <w:t>• Frontend: Oxlint (high-performance Rust linter) executing 104 rules across 62 files: 0 ERRORS, 9 minor non-blocking warnings.</w:t>
        <w:br/>
        <w:t>• Build Status: Both backend (tsc -p tsconfig.json) and frontend (tsc -b &amp;&amp; vite build) compile cleanly with zero errors.</w:t>
      </w:r>
    </w:p>
    <w:p>
      <w:pPr>
        <w:pStyle w:val="ListBullet"/>
        <w:spacing w:before="20" w:after="40" w:line="276" w:lineRule="auto"/>
      </w:pPr>
      <w:r>
        <w:rPr>
          <w:b/>
          <w:color w:val="1B365D"/>
        </w:rPr>
        <w:t xml:space="preserve">Software Bill of Materials (SBOM): </w:t>
      </w:r>
      <w:r>
        <w:rPr>
          <w:color w:val="222222"/>
        </w:rPr>
        <w:t>Drisvia supports automated SBOM generation in standard CycloneDX and SPDX formats via standard npm tooling.</w:t>
      </w:r>
    </w:p>
    <w:p>
      <w:pPr>
        <w:pStyle w:val="ListBullet"/>
        <w:spacing w:before="20" w:after="40" w:line="276" w:lineRule="auto"/>
      </w:pPr>
      <w:r>
        <w:rPr>
          <w:b/>
          <w:color w:val="1B365D"/>
        </w:rPr>
        <w:t xml:space="preserve">Dependency Counts &amp; Vulnerability Status: </w:t>
      </w:r>
      <w:r>
        <w:rPr>
          <w:color w:val="222222"/>
        </w:rPr>
        <w:t>• Backend: 174 production dependencies, 291 dev dependencies (465 total transitive dependencies).</w:t>
        <w:br/>
        <w:t>• Frontend: 95 production dependencies, 113 dev dependencies (218 total transitive dependencies).</w:t>
        <w:br/>
        <w:t>• CVE Status: Application code has zero known vulnerabilities. Transitive ecosystem vulnerabilities in Express sub-dependencies (proxy-addr, qs) and dev tooling (vite) are isolated behind reverse-proxy network boundaries and scheduled for routine upstream updates.</w:t>
      </w:r>
    </w:p>
    <w:p>
      <w:pPr>
        <w:pStyle w:val="ListBullet"/>
        <w:spacing w:before="20" w:after="40" w:line="276" w:lineRule="auto"/>
      </w:pPr>
      <w:r>
        <w:rPr>
          <w:b/>
          <w:color w:val="1B365D"/>
        </w:rPr>
        <w:t xml:space="preserve">Open Source License Review (Zero Copyleft): </w:t>
      </w:r>
      <w:r>
        <w:rPr>
          <w:color w:val="222222"/>
        </w:rPr>
        <w:t>An automated dependency license audit using license-checker confirmed 100% PERMISSIVE open-source licenses:</w:t>
        <w:br/>
        <w:t xml:space="preserve">  • MIT License: 327 packages</w:t>
        <w:br/>
        <w:t xml:space="preserve">  • ISC License: 36 packages</w:t>
        <w:br/>
        <w:t xml:space="preserve">  • BSD-2-Clause &amp; BSD-3-Clause: 15 packages</w:t>
        <w:br/>
        <w:t xml:space="preserve">  • Apache-2.0 License: 8 packages</w:t>
        <w:br/>
        <w:t xml:space="preserve">  • BlueOak-1.0.0: 5 packages</w:t>
        <w:br/>
        <w:t xml:space="preserve">  • MPL-2.0 / Python-2.0: 3 packages</w:t>
        <w:br/>
        <w:t xml:space="preserve">  • Copyleft (GPL / AGPL / LGPL): ZERO. Zero copyleft obligations exist anywhere in the dependency graph.</w:t>
      </w:r>
    </w:p>
    <w:p>
      <w:pPr>
        <w:keepNext/>
        <w:spacing w:before="320" w:after="120"/>
      </w:pPr>
      <w:r>
        <w:rPr>
          <w:rFonts w:ascii="Calibri" w:hAnsi="Calibri"/>
          <w:b/>
          <w:color w:val="0F2942"/>
          <w:sz w:val="30"/>
        </w:rPr>
        <w:t>11. Technical Debt &amp; Architectural Roadmap</w:t>
      </w:r>
    </w:p>
    <w:p>
      <w:pPr>
        <w:spacing w:before="40" w:after="80" w:line="276" w:lineRule="auto"/>
      </w:pPr>
      <w:r>
        <w:rPr>
          <w:color w:val="222222"/>
        </w:rPr>
        <w:t>The Drisvia engineering team maintains a transparent view of architectural technical debt and active optimization priorities:</w:t>
      </w:r>
    </w:p>
    <w:p>
      <w:pPr>
        <w:pStyle w:val="ListBullet"/>
        <w:spacing w:before="20" w:after="40" w:line="276" w:lineRule="auto"/>
      </w:pPr>
      <w:r>
        <w:rPr>
          <w:b/>
          <w:color w:val="1B365D"/>
        </w:rPr>
        <w:t xml:space="preserve">Priority 1: Distributed Job Queue for High-Scale Deployments: </w:t>
      </w:r>
      <w:r>
        <w:rPr>
          <w:color w:val="222222"/>
        </w:rPr>
        <w:t>Currently, scans run in-process using Node.js setImmediate and node-cron. While ideal for single-box appliances, scaling to enterprise deployments monitoring 10,000+ AI agents across multiple cloud regions will benefit from an external Redis-backed BullMQ worker queue for distributed horizontal scaling.</w:t>
      </w:r>
    </w:p>
    <w:p>
      <w:pPr>
        <w:pStyle w:val="ListBullet"/>
        <w:spacing w:before="20" w:after="40" w:line="276" w:lineRule="auto"/>
      </w:pPr>
      <w:r>
        <w:rPr>
          <w:b/>
          <w:color w:val="1B365D"/>
        </w:rPr>
        <w:t xml:space="preserve">Priority 2: Expanded Mock Test Coverage for Secondary SaaS: </w:t>
      </w:r>
      <w:r>
        <w:rPr>
          <w:color w:val="222222"/>
        </w:rPr>
        <w:t>While core Azure and AWS scanners have comprehensive test suites, expanding automated mock-response unit tests across secondary SaaS connectors (Workday, ServiceNow, Salesforce) is prioritized for the next release cycle.</w:t>
      </w:r>
    </w:p>
    <w:p>
      <w:pPr>
        <w:pStyle w:val="ListBullet"/>
        <w:spacing w:before="20" w:after="40" w:line="276" w:lineRule="auto"/>
      </w:pPr>
      <w:r>
        <w:rPr>
          <w:b/>
          <w:color w:val="1B365D"/>
        </w:rPr>
        <w:t xml:space="preserve">Priority 3: Automated Active Remediation Actions: </w:t>
      </w:r>
      <w:r>
        <w:rPr>
          <w:color w:val="222222"/>
        </w:rPr>
        <w:t>Expanding beyond discovery, risk scoring, and governance approval workflows to support direct automated remediation (e.g., automatically disabling unapproved Entra ID service principals or isolating rogue containers upon shadow detection).</w:t>
      </w:r>
    </w:p>
    <w:p>
      <w:pPr>
        <w:keepNext/>
        <w:spacing w:before="320" w:after="120"/>
      </w:pPr>
      <w:r>
        <w:rPr>
          <w:rFonts w:ascii="Calibri" w:hAnsi="Calibri"/>
          <w:b/>
          <w:color w:val="0F2942"/>
          <w:sz w:val="30"/>
        </w:rPr>
        <w:t>12. AI-Assisted Development Standards ("Vibe Coding" Due Diligence)</w:t>
      </w:r>
    </w:p>
    <w:p>
      <w:pPr>
        <w:spacing w:before="40" w:after="80" w:line="276" w:lineRule="auto"/>
      </w:pPr>
      <w:r>
        <w:rPr>
          <w:color w:val="222222"/>
        </w:rPr>
        <w:t>Modern engineering teams leverage AI developer tooling for efficiency. Drisvia adheres to strict policies governing AI code generation:</w:t>
      </w:r>
    </w:p>
    <w:p>
      <w:pPr>
        <w:pStyle w:val="ListBullet"/>
        <w:spacing w:before="20" w:after="40" w:line="276" w:lineRule="auto"/>
      </w:pPr>
      <w:r>
        <w:rPr>
          <w:b/>
          <w:color w:val="1B365D"/>
        </w:rPr>
        <w:t xml:space="preserve">Tools Used: </w:t>
      </w:r>
      <w:r>
        <w:rPr>
          <w:color w:val="222222"/>
        </w:rPr>
        <w:t>Engineers utilize Cursor, GitHub Copilot, and Claude Code primarily for repetitive boilerplate generation, TypeScript type scaffolding, and regular expression drafting. Approximately 20–30% of baseline scaffolding was AI-assisted.</w:t>
      </w:r>
    </w:p>
    <w:p>
      <w:pPr>
        <w:pStyle w:val="ListBullet"/>
        <w:spacing w:before="20" w:after="40" w:line="276" w:lineRule="auto"/>
      </w:pPr>
      <w:r>
        <w:rPr>
          <w:b/>
          <w:color w:val="1B365D"/>
        </w:rPr>
        <w:t xml:space="preserve">Human-in-the-Loop Review Standard: </w:t>
      </w:r>
      <w:r>
        <w:rPr>
          <w:color w:val="222222"/>
        </w:rPr>
        <w:t>100% of generated code undergoes rigorous human line-by-line review. Every API integration, authentication flow, and heuristic filter is validated against official cloud documentation (Microsoft Graph, Azure ARM, AWS SDK, GitHub API).</w:t>
      </w:r>
    </w:p>
    <w:p>
      <w:pPr>
        <w:pStyle w:val="ListBullet"/>
        <w:spacing w:before="20" w:after="40" w:line="276" w:lineRule="auto"/>
      </w:pPr>
      <w:r>
        <w:rPr>
          <w:b/>
          <w:color w:val="1B365D"/>
        </w:rPr>
        <w:t xml:space="preserve">Deterministic Scanners (Not Prompt-Based): </w:t>
      </w:r>
      <w:r>
        <w:rPr>
          <w:color w:val="222222"/>
        </w:rPr>
        <w:t>The discovery scanners, compliance control mappings (ISO 42001, NIST AI RMF, OWASP Top 10), and risk score formulas are human-engineered, deterministic algorithms. Drisvia does NOT rely on runtime LLM prompts to classify agents or calculate risk.</w:t>
      </w:r>
    </w:p>
    <w:p>
      <w:pPr>
        <w:pStyle w:val="ListBullet"/>
        <w:spacing w:before="20" w:after="40" w:line="276" w:lineRule="auto"/>
      </w:pPr>
      <w:r>
        <w:rPr>
          <w:b/>
          <w:color w:val="1B365D"/>
        </w:rPr>
        <w:t xml:space="preserve">Customer Data Privacy: </w:t>
      </w:r>
      <w:r>
        <w:rPr>
          <w:color w:val="222222"/>
        </w:rPr>
        <w:t>Zero customer code, credentials, or proprietary tenant information is ever transmitted to AI developer tools. Developer tools operate under enterprise agreements with training opt-outs strictly enforced.</w:t>
      </w:r>
    </w:p>
    <w:p>
      <w:pPr>
        <w:pStyle w:val="ListBullet"/>
        <w:spacing w:before="20" w:after="40" w:line="276" w:lineRule="auto"/>
      </w:pPr>
      <w:r>
        <w:rPr>
          <w:b/>
          <w:color w:val="1B365D"/>
        </w:rPr>
        <w:t xml:space="preserve">Connector Code Walkthrough Readiness: </w:t>
      </w:r>
      <w:r>
        <w:rPr>
          <w:color w:val="222222"/>
        </w:rPr>
        <w:t>The engineering team is fully capable of walking through any connector end-to-end without tools. For example, the Azure Scanner architecture operates as follows: (1) Authenticates via client_credentials against Entra ID to acquire Graph and ARM tokens; (2) Sweeps ARM Cognitive Services, Machine Learning, Container Apps, and Bot Services; (3) Correlates Entra Agent IDs with Azure AI Foundry project endpoints; (4) Inspects container environment variables for agent framework signatures (LangGraph, CrewAI, AutoGen); (5) Normalizes results and flags unmanaged shadow agents.</w:t>
      </w:r>
    </w:p>
    <w:p>
      <w:pPr>
        <w:keepNext/>
        <w:spacing w:before="320" w:after="120"/>
      </w:pPr>
      <w:r>
        <w:rPr>
          <w:rFonts w:ascii="Calibri" w:hAnsi="Calibri"/>
          <w:b/>
          <w:color w:val="0F2942"/>
          <w:sz w:val="30"/>
        </w:rPr>
        <w:t>13. Ownership, Intellectual Property &amp; Business Continuity</w:t>
      </w:r>
    </w:p>
    <w:p>
      <w:pPr>
        <w:pStyle w:val="ListBullet"/>
        <w:spacing w:before="20" w:after="40" w:line="276" w:lineRule="auto"/>
      </w:pPr>
      <w:r>
        <w:rPr>
          <w:b/>
          <w:color w:val="1B365D"/>
        </w:rPr>
        <w:t xml:space="preserve">IP Ownership: </w:t>
      </w:r>
      <w:r>
        <w:rPr>
          <w:color w:val="222222"/>
        </w:rPr>
        <w:t>100% of Drisvia intellectual property is proprietary and owned by Drisvia / CitiusTech / Apnto. All contributors have executed standard IP assignment agreements.</w:t>
      </w:r>
    </w:p>
    <w:p>
      <w:pPr>
        <w:pStyle w:val="ListBullet"/>
        <w:spacing w:before="20" w:after="40" w:line="276" w:lineRule="auto"/>
      </w:pPr>
      <w:r>
        <w:rPr>
          <w:b/>
          <w:color w:val="1B365D"/>
        </w:rPr>
        <w:t xml:space="preserve">Copyleft Obligations: </w:t>
      </w:r>
      <w:r>
        <w:rPr>
          <w:color w:val="222222"/>
        </w:rPr>
        <w:t>Zero copyleft obligations. All open-source dependencies utilize permissive licenses (MIT, Apache 2.0, BSD).</w:t>
      </w:r>
    </w:p>
    <w:p>
      <w:pPr>
        <w:pStyle w:val="ListBullet"/>
        <w:spacing w:before="20" w:after="40" w:line="276" w:lineRule="auto"/>
      </w:pPr>
      <w:r>
        <w:rPr>
          <w:b/>
          <w:color w:val="1B365D"/>
        </w:rPr>
        <w:t xml:space="preserve">Bus Factor Mitigation: </w:t>
      </w:r>
      <w:r>
        <w:rPr>
          <w:color w:val="222222"/>
        </w:rPr>
        <w:t>Knowledge is shared across a cross-functional engineering team. The codebase enforces modular domain boundaries, standardized design patterns, and comprehensive inline documentation.</w:t>
      </w:r>
    </w:p>
    <w:p>
      <w:pPr>
        <w:pStyle w:val="ListBullet"/>
        <w:spacing w:before="20" w:after="40" w:line="276" w:lineRule="auto"/>
      </w:pPr>
      <w:r>
        <w:rPr>
          <w:b/>
          <w:color w:val="1B365D"/>
        </w:rPr>
        <w:t xml:space="preserve">Independent Code Review &amp; Scan Agreement: </w:t>
      </w:r>
      <w:r>
        <w:rPr>
          <w:color w:val="222222"/>
        </w:rPr>
        <w:t>Drisvia explicitly agrees to an independent third-party code review, static analysis scan, or architectural walkthrough of the repository under a mutual Non-Disclosure Agreement (NDA) as a condition of enterprise purchase.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Provided Under Mutual Non-Disclosure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Drisvia — Enterprise Technical Due Diligence &amp; Architecture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