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55B"/>
          <w:sz w:val="56"/>
        </w:rPr>
        <w:br/>
        <w:t>PT DAFF CARGO NUSANTARA</w:t>
      </w:r>
    </w:p>
    <w:p>
      <w:pPr>
        <w:jc w:val="center"/>
      </w:pPr>
      <w:r>
        <w:rPr>
          <w:b/>
          <w:color w:val="F28C28"/>
          <w:sz w:val="34"/>
        </w:rPr>
        <w:t>CUSTOMS BROKER DAN FREIGHT FORWARDING</w:t>
      </w:r>
    </w:p>
    <w:p>
      <w:pPr>
        <w:jc w:val="center"/>
      </w:pPr>
      <w:r>
        <w:br/>
        <w:br/>
        <w:t>PROFIL USAHA, PROSES BISNIS, DAN FLOWCHART OPERASIONAL</w:t>
      </w:r>
    </w:p>
    <w:p>
      <w:pPr>
        <w:jc w:val="center"/>
      </w:pPr>
      <w:r>
        <w:br/>
        <w:t>Dokumen acuan untuk company profile, SOP, presentasi, dan pelatihan internal</w:t>
      </w:r>
    </w:p>
    <w:p>
      <w:pPr>
        <w:jc w:val="center"/>
      </w:pPr>
      <w:r>
        <w:br/>
        <w:br/>
        <w:t>Disusun: Juli 2026</w:t>
      </w:r>
    </w:p>
    <w:p>
      <w:r>
        <w:br w:type="page"/>
      </w:r>
    </w:p>
    <w:p>
      <w:pPr>
        <w:pStyle w:val="Heading1"/>
      </w:pPr>
      <w:r>
        <w:t>1. Profil dan Ruang Lingkup Perusahaan</w:t>
      </w:r>
    </w:p>
    <w:p>
      <w:r>
        <w:t>PT Daff Cargo Nusantara adalah perusahaan jasa logistik yang mengoordinasikan pengurusan kepabeanan, pengangkutan internasional dan domestik, trucking, pergudangan, distribusi, serta project cargo melalui moda laut, udara, dan darat.</w:t>
      </w:r>
    </w:p>
    <w:p>
      <w:pPr>
        <w:pStyle w:val="Heading2"/>
      </w:pPr>
      <w:r>
        <w:t>Customs Broker / PPJK</w:t>
      </w:r>
    </w:p>
    <w:p>
      <w:r>
        <w:t>PPJK adalah badan usaha yang melakukan pengurusan pemenuhan kewajiban pabean untuk dan atas kuasa importir atau eksportir. Pelaksanaan customs clearance harus berdasarkan kuasa, data, dan dokumen yang sah dari pemilik barang.</w:t>
      </w:r>
    </w:p>
    <w:p>
      <w:pPr>
        <w:pStyle w:val="Heading2"/>
      </w:pPr>
      <w:r>
        <w:t>Freight Forwarding</w:t>
      </w:r>
    </w:p>
    <w:p>
      <w:r>
        <w:t>Freight forwarding adalah kegiatan merencanakan, mengatur, dan mengoordinasikan perpindahan barang dari pengirim sampai penerima dengan satu atau beberapa moda transportasi.</w:t>
      </w:r>
    </w:p>
    <w:p>
      <w:pPr>
        <w:pStyle w:val="Heading2"/>
      </w:pPr>
      <w:r>
        <w:t>Peran dan Nilai Tambah</w:t>
      </w:r>
    </w:p>
    <w:p>
      <w:pPr>
        <w:pStyle w:val="ListBullet"/>
      </w:pPr>
      <w:r>
        <w:t>Satu titik koordinasi dari origin sampai tujuan.</w:t>
      </w:r>
    </w:p>
    <w:p>
      <w:pPr>
        <w:pStyle w:val="ListBullet"/>
      </w:pPr>
      <w:r>
        <w:t>Pemeriksaan awal dokumen, HS Code, tarif, dan lartas.</w:t>
      </w:r>
    </w:p>
    <w:p>
      <w:pPr>
        <w:pStyle w:val="ListBullet"/>
      </w:pPr>
      <w:r>
        <w:t>Koordinasi carrier, terminal, warehouse, trucking, dan instansi terkait.</w:t>
      </w:r>
    </w:p>
    <w:p>
      <w:pPr>
        <w:pStyle w:val="ListBullet"/>
      </w:pPr>
      <w:r>
        <w:t>Monitoring milestone shipment dan pelaporan berkala.</w:t>
      </w:r>
    </w:p>
    <w:p>
      <w:pPr>
        <w:pStyle w:val="ListBullet"/>
      </w:pPr>
      <w:r>
        <w:t>Pengendalian biaya, risiko, lead time, dan bukti serah terima.</w:t>
      </w:r>
    </w:p>
    <w:p>
      <w:pPr>
        <w:pStyle w:val="ListBullet"/>
      </w:pPr>
      <w:r>
        <w:t>Layanan dijalankan sesuai perizinan dan kewenangan perusahaan.</w:t>
      </w:r>
    </w:p>
    <w:p>
      <w:pPr>
        <w:pStyle w:val="Heading2"/>
      </w:pPr>
      <w:r>
        <w:t>Jenis Pelanggan</w:t>
      </w:r>
    </w:p>
    <w:p>
      <w:r>
        <w:t>Importir, eksportir, manufaktur, energi, pertambangan, konstruksi/EPC, distributor, otomotif, ritel, farmasi, kimia, BUMN, instansi pemerintah, dan pelaku usaha lainnya yang memenuhi persyaratan.</w:t>
      </w:r>
    </w:p>
    <w:p>
      <w:pPr>
        <w:pStyle w:val="Heading1"/>
      </w:pPr>
      <w:r>
        <w:t>2. Jenis Layanan</w:t>
      </w:r>
    </w:p>
    <w:tbl>
      <w:tblPr>
        <w:tblStyle w:val="TableGrid"/>
        <w:tblW w:type="auto" w:w="0"/>
        <w:jc w:val="center"/>
        <w:tblLook w:firstColumn="1" w:firstRow="1" w:lastColumn="0" w:lastRow="0" w:noHBand="0" w:noVBand="1" w:val="04A0"/>
      </w:tblPr>
      <w:tblGrid>
        <w:gridCol w:w="5112"/>
        <w:gridCol w:w="5112"/>
      </w:tblGrid>
      <w:tr>
        <w:tc>
          <w:tcPr>
            <w:tcW w:type="dxa" w:w="2880"/>
            <w:shd w:fill="12355B"/>
            <w:vAlign w:val="center"/>
          </w:tcPr>
          <w:p>
            <w:r/>
            <w:r>
              <w:rPr>
                <w:b/>
                <w:color w:val="FFFFFF"/>
                <w:sz w:val="16"/>
              </w:rPr>
              <w:t>Layanan</w:t>
            </w:r>
          </w:p>
        </w:tc>
        <w:tc>
          <w:tcPr>
            <w:tcW w:type="dxa" w:w="7488"/>
            <w:shd w:fill="12355B"/>
            <w:vAlign w:val="center"/>
          </w:tcPr>
          <w:p>
            <w:r/>
            <w:r>
              <w:rPr>
                <w:b/>
                <w:color w:val="FFFFFF"/>
                <w:sz w:val="16"/>
              </w:rPr>
              <w:t>Ruang Lingkup</w:t>
            </w:r>
          </w:p>
        </w:tc>
      </w:tr>
      <w:tr>
        <w:tc>
          <w:tcPr>
            <w:tcW w:type="dxa" w:w="2880"/>
            <w:vAlign w:val="center"/>
          </w:tcPr>
          <w:p>
            <w:r/>
            <w:r>
              <w:rPr>
                <w:b w:val="0"/>
                <w:color w:val="263238"/>
                <w:sz w:val="15"/>
              </w:rPr>
              <w:t>Customs clearance impor</w:t>
            </w:r>
          </w:p>
        </w:tc>
        <w:tc>
          <w:tcPr>
            <w:tcW w:type="dxa" w:w="7488"/>
            <w:vAlign w:val="center"/>
          </w:tcPr>
          <w:p>
            <w:r/>
            <w:r>
              <w:rPr>
                <w:b w:val="0"/>
                <w:color w:val="263238"/>
                <w:sz w:val="15"/>
              </w:rPr>
              <w:t>PIB, billing, penjaluran, pemeriksaan, SPPB, dan pengeluaran.</w:t>
            </w:r>
          </w:p>
        </w:tc>
      </w:tr>
      <w:tr>
        <w:tc>
          <w:tcPr>
            <w:tcW w:type="dxa" w:w="2880"/>
            <w:shd w:fill="F3F5F7"/>
            <w:vAlign w:val="center"/>
          </w:tcPr>
          <w:p>
            <w:r/>
            <w:r>
              <w:rPr>
                <w:b w:val="0"/>
                <w:color w:val="263238"/>
                <w:sz w:val="15"/>
              </w:rPr>
              <w:t>Customs clearance ekspor</w:t>
            </w:r>
          </w:p>
        </w:tc>
        <w:tc>
          <w:tcPr>
            <w:tcW w:type="dxa" w:w="7488"/>
            <w:shd w:fill="F3F5F7"/>
            <w:vAlign w:val="center"/>
          </w:tcPr>
          <w:p>
            <w:r/>
            <w:r>
              <w:rPr>
                <w:b w:val="0"/>
                <w:color w:val="263238"/>
                <w:sz w:val="15"/>
              </w:rPr>
              <w:t>PEB, NPE, izin, pemasukan barang, dan koordinasi loading.</w:t>
            </w:r>
          </w:p>
        </w:tc>
      </w:tr>
      <w:tr>
        <w:tc>
          <w:tcPr>
            <w:tcW w:type="dxa" w:w="2880"/>
            <w:vAlign w:val="center"/>
          </w:tcPr>
          <w:p>
            <w:r/>
            <w:r>
              <w:rPr>
                <w:b w:val="0"/>
                <w:color w:val="263238"/>
                <w:sz w:val="15"/>
              </w:rPr>
              <w:t>Sea freight</w:t>
            </w:r>
          </w:p>
        </w:tc>
        <w:tc>
          <w:tcPr>
            <w:tcW w:type="dxa" w:w="7488"/>
            <w:vAlign w:val="center"/>
          </w:tcPr>
          <w:p>
            <w:r/>
            <w:r>
              <w:rPr>
                <w:b w:val="0"/>
                <w:color w:val="263238"/>
                <w:sz w:val="15"/>
              </w:rPr>
              <w:t>FCL, LCL, breakbulk, Ro-Ro, dan project cargo.</w:t>
            </w:r>
          </w:p>
        </w:tc>
      </w:tr>
      <w:tr>
        <w:tc>
          <w:tcPr>
            <w:tcW w:type="dxa" w:w="2880"/>
            <w:shd w:fill="F3F5F7"/>
            <w:vAlign w:val="center"/>
          </w:tcPr>
          <w:p>
            <w:r/>
            <w:r>
              <w:rPr>
                <w:b w:val="0"/>
                <w:color w:val="263238"/>
                <w:sz w:val="15"/>
              </w:rPr>
              <w:t>Air freight</w:t>
            </w:r>
          </w:p>
        </w:tc>
        <w:tc>
          <w:tcPr>
            <w:tcW w:type="dxa" w:w="7488"/>
            <w:shd w:fill="F3F5F7"/>
            <w:vAlign w:val="center"/>
          </w:tcPr>
          <w:p>
            <w:r/>
            <w:r>
              <w:rPr>
                <w:b w:val="0"/>
                <w:color w:val="263238"/>
                <w:sz w:val="15"/>
              </w:rPr>
              <w:t>General cargo, urgent cargo, dan special cargo.</w:t>
            </w:r>
          </w:p>
        </w:tc>
      </w:tr>
      <w:tr>
        <w:tc>
          <w:tcPr>
            <w:tcW w:type="dxa" w:w="2880"/>
            <w:vAlign w:val="center"/>
          </w:tcPr>
          <w:p>
            <w:r/>
            <w:r>
              <w:rPr>
                <w:b w:val="0"/>
                <w:color w:val="263238"/>
                <w:sz w:val="15"/>
              </w:rPr>
              <w:t>Domestic freight</w:t>
            </w:r>
          </w:p>
        </w:tc>
        <w:tc>
          <w:tcPr>
            <w:tcW w:type="dxa" w:w="7488"/>
            <w:vAlign w:val="center"/>
          </w:tcPr>
          <w:p>
            <w:r/>
            <w:r>
              <w:rPr>
                <w:b w:val="0"/>
                <w:color w:val="263238"/>
                <w:sz w:val="15"/>
              </w:rPr>
              <w:t>Pengiriman antarkota/antarpulau melalui darat, laut, atau udara.</w:t>
            </w:r>
          </w:p>
        </w:tc>
      </w:tr>
      <w:tr>
        <w:tc>
          <w:tcPr>
            <w:tcW w:type="dxa" w:w="2880"/>
            <w:shd w:fill="F3F5F7"/>
            <w:vAlign w:val="center"/>
          </w:tcPr>
          <w:p>
            <w:r/>
            <w:r>
              <w:rPr>
                <w:b w:val="0"/>
                <w:color w:val="263238"/>
                <w:sz w:val="15"/>
              </w:rPr>
              <w:t>Door-to-door / port-to-port</w:t>
            </w:r>
          </w:p>
        </w:tc>
        <w:tc>
          <w:tcPr>
            <w:tcW w:type="dxa" w:w="7488"/>
            <w:shd w:fill="F3F5F7"/>
            <w:vAlign w:val="center"/>
          </w:tcPr>
          <w:p>
            <w:r/>
            <w:r>
              <w:rPr>
                <w:b w:val="0"/>
                <w:color w:val="263238"/>
                <w:sz w:val="15"/>
              </w:rPr>
              <w:t>Layanan sesuai titik awal dan akhir yang disepakati.</w:t>
            </w:r>
          </w:p>
        </w:tc>
      </w:tr>
      <w:tr>
        <w:tc>
          <w:tcPr>
            <w:tcW w:type="dxa" w:w="2880"/>
            <w:vAlign w:val="center"/>
          </w:tcPr>
          <w:p>
            <w:r/>
            <w:r>
              <w:rPr>
                <w:b w:val="0"/>
                <w:color w:val="263238"/>
                <w:sz w:val="15"/>
              </w:rPr>
              <w:t>Trucking</w:t>
            </w:r>
          </w:p>
        </w:tc>
        <w:tc>
          <w:tcPr>
            <w:tcW w:type="dxa" w:w="7488"/>
            <w:vAlign w:val="center"/>
          </w:tcPr>
          <w:p>
            <w:r/>
            <w:r>
              <w:rPr>
                <w:b w:val="0"/>
                <w:color w:val="263238"/>
                <w:sz w:val="15"/>
              </w:rPr>
              <w:t>CDD, Fuso, wingbox, trailer, lowbed, dan armada khusus.</w:t>
            </w:r>
          </w:p>
        </w:tc>
      </w:tr>
      <w:tr>
        <w:tc>
          <w:tcPr>
            <w:tcW w:type="dxa" w:w="2880"/>
            <w:shd w:fill="F3F5F7"/>
            <w:vAlign w:val="center"/>
          </w:tcPr>
          <w:p>
            <w:r/>
            <w:r>
              <w:rPr>
                <w:b w:val="0"/>
                <w:color w:val="263238"/>
                <w:sz w:val="15"/>
              </w:rPr>
              <w:t>Warehousing</w:t>
            </w:r>
          </w:p>
        </w:tc>
        <w:tc>
          <w:tcPr>
            <w:tcW w:type="dxa" w:w="7488"/>
            <w:shd w:fill="F3F5F7"/>
            <w:vAlign w:val="center"/>
          </w:tcPr>
          <w:p>
            <w:r/>
            <w:r>
              <w:rPr>
                <w:b w:val="0"/>
                <w:color w:val="263238"/>
                <w:sz w:val="15"/>
              </w:rPr>
              <w:t>Receiving, storage, tally, picking, packing, dan distribusi.</w:t>
            </w:r>
          </w:p>
        </w:tc>
      </w:tr>
      <w:tr>
        <w:tc>
          <w:tcPr>
            <w:tcW w:type="dxa" w:w="2880"/>
            <w:vAlign w:val="center"/>
          </w:tcPr>
          <w:p>
            <w:r/>
            <w:r>
              <w:rPr>
                <w:b w:val="0"/>
                <w:color w:val="263238"/>
                <w:sz w:val="15"/>
              </w:rPr>
              <w:t>Project cargo</w:t>
            </w:r>
          </w:p>
        </w:tc>
        <w:tc>
          <w:tcPr>
            <w:tcW w:type="dxa" w:w="7488"/>
            <w:vAlign w:val="center"/>
          </w:tcPr>
          <w:p>
            <w:r/>
            <w:r>
              <w:rPr>
                <w:b w:val="0"/>
                <w:color w:val="263238"/>
                <w:sz w:val="15"/>
              </w:rPr>
              <w:t>Barang berat, oversize, bernilai tinggi, atau membutuhkan metode khusus.</w:t>
            </w:r>
          </w:p>
        </w:tc>
      </w:tr>
      <w:tr>
        <w:tc>
          <w:tcPr>
            <w:tcW w:type="dxa" w:w="2880"/>
            <w:shd w:fill="F3F5F7"/>
            <w:vAlign w:val="center"/>
          </w:tcPr>
          <w:p>
            <w:r/>
            <w:r>
              <w:rPr>
                <w:b w:val="0"/>
                <w:color w:val="263238"/>
                <w:sz w:val="15"/>
              </w:rPr>
              <w:t>Dokumentasi</w:t>
            </w:r>
          </w:p>
        </w:tc>
        <w:tc>
          <w:tcPr>
            <w:tcW w:type="dxa" w:w="7488"/>
            <w:shd w:fill="F3F5F7"/>
            <w:vAlign w:val="center"/>
          </w:tcPr>
          <w:p>
            <w:r/>
            <w:r>
              <w:rPr>
                <w:b w:val="0"/>
                <w:color w:val="263238"/>
                <w:sz w:val="15"/>
              </w:rPr>
              <w:t>BL/AWB, Invoice, Packing List, PIB, PEB, COO/SKA, dan pendukung.</w:t>
            </w:r>
          </w:p>
        </w:tc>
      </w:tr>
      <w:tr>
        <w:tc>
          <w:tcPr>
            <w:tcW w:type="dxa" w:w="2880"/>
            <w:vAlign w:val="center"/>
          </w:tcPr>
          <w:p>
            <w:r/>
            <w:r>
              <w:rPr>
                <w:b w:val="0"/>
                <w:color w:val="263238"/>
                <w:sz w:val="15"/>
              </w:rPr>
              <w:t>HS Code dan lartas</w:t>
            </w:r>
          </w:p>
        </w:tc>
        <w:tc>
          <w:tcPr>
            <w:tcW w:type="dxa" w:w="7488"/>
            <w:vAlign w:val="center"/>
          </w:tcPr>
          <w:p>
            <w:r/>
            <w:r>
              <w:rPr>
                <w:b w:val="0"/>
                <w:color w:val="263238"/>
                <w:sz w:val="15"/>
              </w:rPr>
              <w:t>Identifikasi klasifikasi dan persyaratan kementerian/lembaga.</w:t>
            </w:r>
          </w:p>
        </w:tc>
      </w:tr>
      <w:tr>
        <w:tc>
          <w:tcPr>
            <w:tcW w:type="dxa" w:w="2880"/>
            <w:shd w:fill="F3F5F7"/>
            <w:vAlign w:val="center"/>
          </w:tcPr>
          <w:p>
            <w:r/>
            <w:r>
              <w:rPr>
                <w:b w:val="0"/>
                <w:color w:val="263238"/>
                <w:sz w:val="15"/>
              </w:rPr>
              <w:t>Cargo insurance</w:t>
            </w:r>
          </w:p>
        </w:tc>
        <w:tc>
          <w:tcPr>
            <w:tcW w:type="dxa" w:w="7488"/>
            <w:shd w:fill="F3F5F7"/>
            <w:vAlign w:val="center"/>
          </w:tcPr>
          <w:p>
            <w:r/>
            <w:r>
              <w:rPr>
                <w:b w:val="0"/>
                <w:color w:val="263238"/>
                <w:sz w:val="15"/>
              </w:rPr>
              <w:t>Koordinasi polis dan klaim sesuai pertanggungan.</w:t>
            </w:r>
          </w:p>
        </w:tc>
      </w:tr>
      <w:tr>
        <w:tc>
          <w:tcPr>
            <w:tcW w:type="dxa" w:w="2880"/>
            <w:vAlign w:val="center"/>
          </w:tcPr>
          <w:p>
            <w:r/>
            <w:r>
              <w:rPr>
                <w:b w:val="0"/>
                <w:color w:val="263238"/>
                <w:sz w:val="15"/>
              </w:rPr>
              <w:t>Tracking</w:t>
            </w:r>
          </w:p>
        </w:tc>
        <w:tc>
          <w:tcPr>
            <w:tcW w:type="dxa" w:w="7488"/>
            <w:vAlign w:val="center"/>
          </w:tcPr>
          <w:p>
            <w:r/>
            <w:r>
              <w:rPr>
                <w:b w:val="0"/>
                <w:color w:val="263238"/>
                <w:sz w:val="15"/>
              </w:rPr>
              <w:t>Monitoring booking, transit, arrival, clearance, dan delivery.</w:t>
            </w:r>
          </w:p>
        </w:tc>
      </w:tr>
      <w:tr>
        <w:tc>
          <w:tcPr>
            <w:tcW w:type="dxa" w:w="2880"/>
            <w:shd w:fill="F3F5F7"/>
            <w:vAlign w:val="center"/>
          </w:tcPr>
          <w:p>
            <w:r/>
            <w:r>
              <w:rPr>
                <w:b w:val="0"/>
                <w:color w:val="263238"/>
                <w:sz w:val="15"/>
              </w:rPr>
              <w:t>Layanan impor terintegrasi</w:t>
            </w:r>
          </w:p>
        </w:tc>
        <w:tc>
          <w:tcPr>
            <w:tcW w:type="dxa" w:w="7488"/>
            <w:shd w:fill="F3F5F7"/>
            <w:vAlign w:val="center"/>
          </w:tcPr>
          <w:p>
            <w:r/>
            <w:r>
              <w:rPr>
                <w:b w:val="0"/>
                <w:color w:val="263238"/>
                <w:sz w:val="15"/>
              </w:rPr>
              <w:t>Freight, clearance, handling, dan delivery dengan biaya transparan.</w:t>
            </w:r>
          </w:p>
        </w:tc>
      </w:tr>
    </w:tbl>
    <w:p/>
    <w:p>
      <w:pPr>
        <w:pStyle w:val="Heading1"/>
        <w:pageBreakBefore/>
      </w:pPr>
      <w:r>
        <w:t>3. Pihak yang Terlibat dan Tanggung Jawab</w:t>
      </w:r>
    </w:p>
    <w:tbl>
      <w:tblPr>
        <w:tblStyle w:val="TableGrid"/>
        <w:tblW w:type="auto" w:w="0"/>
        <w:jc w:val="center"/>
        <w:tblLook w:firstColumn="1" w:firstRow="1" w:lastColumn="0" w:lastRow="0" w:noHBand="0" w:noVBand="1" w:val="04A0"/>
      </w:tblPr>
      <w:tblGrid>
        <w:gridCol w:w="5112"/>
        <w:gridCol w:w="5112"/>
      </w:tblGrid>
      <w:tr>
        <w:tc>
          <w:tcPr>
            <w:tcW w:type="dxa" w:w="3024"/>
            <w:shd w:fill="12355B"/>
            <w:vAlign w:val="center"/>
          </w:tcPr>
          <w:p>
            <w:r/>
            <w:r>
              <w:rPr>
                <w:b/>
                <w:color w:val="FFFFFF"/>
                <w:sz w:val="16"/>
              </w:rPr>
              <w:t>Pihak</w:t>
            </w:r>
          </w:p>
        </w:tc>
        <w:tc>
          <w:tcPr>
            <w:tcW w:type="dxa" w:w="7344"/>
            <w:shd w:fill="12355B"/>
            <w:vAlign w:val="center"/>
          </w:tcPr>
          <w:p>
            <w:r/>
            <w:r>
              <w:rPr>
                <w:b/>
                <w:color w:val="FFFFFF"/>
                <w:sz w:val="16"/>
              </w:rPr>
              <w:t>Tanggung Jawab Utama</w:t>
            </w:r>
          </w:p>
        </w:tc>
      </w:tr>
      <w:tr>
        <w:tc>
          <w:tcPr>
            <w:tcW w:type="dxa" w:w="3024"/>
            <w:vAlign w:val="center"/>
          </w:tcPr>
          <w:p>
            <w:r/>
            <w:r>
              <w:rPr>
                <w:b w:val="0"/>
                <w:color w:val="263238"/>
                <w:sz w:val="15"/>
              </w:rPr>
              <w:t>Customer</w:t>
            </w:r>
          </w:p>
        </w:tc>
        <w:tc>
          <w:tcPr>
            <w:tcW w:type="dxa" w:w="7344"/>
            <w:vAlign w:val="center"/>
          </w:tcPr>
          <w:p>
            <w:r/>
            <w:r>
              <w:rPr>
                <w:b w:val="0"/>
                <w:color w:val="263238"/>
                <w:sz w:val="15"/>
              </w:rPr>
              <w:t>Data, dokumen, instruksi, dan persetujuan.</w:t>
            </w:r>
          </w:p>
        </w:tc>
      </w:tr>
      <w:tr>
        <w:tc>
          <w:tcPr>
            <w:tcW w:type="dxa" w:w="3024"/>
            <w:shd w:fill="F3F5F7"/>
            <w:vAlign w:val="center"/>
          </w:tcPr>
          <w:p>
            <w:r/>
            <w:r>
              <w:rPr>
                <w:b w:val="0"/>
                <w:color w:val="263238"/>
                <w:sz w:val="15"/>
              </w:rPr>
              <w:t>Sales</w:t>
            </w:r>
          </w:p>
        </w:tc>
        <w:tc>
          <w:tcPr>
            <w:tcW w:type="dxa" w:w="7344"/>
            <w:shd w:fill="F3F5F7"/>
            <w:vAlign w:val="center"/>
          </w:tcPr>
          <w:p>
            <w:r/>
            <w:r>
              <w:rPr>
                <w:b w:val="0"/>
                <w:color w:val="263238"/>
                <w:sz w:val="15"/>
              </w:rPr>
              <w:t>Inquiry, kebutuhan pelanggan, dan hubungan komersial.</w:t>
            </w:r>
          </w:p>
        </w:tc>
      </w:tr>
      <w:tr>
        <w:tc>
          <w:tcPr>
            <w:tcW w:type="dxa" w:w="3024"/>
            <w:vAlign w:val="center"/>
          </w:tcPr>
          <w:p>
            <w:r/>
            <w:r>
              <w:rPr>
                <w:b w:val="0"/>
                <w:color w:val="263238"/>
                <w:sz w:val="15"/>
              </w:rPr>
              <w:t>Pricing/Procurement</w:t>
            </w:r>
          </w:p>
        </w:tc>
        <w:tc>
          <w:tcPr>
            <w:tcW w:type="dxa" w:w="7344"/>
            <w:vAlign w:val="center"/>
          </w:tcPr>
          <w:p>
            <w:r/>
            <w:r>
              <w:rPr>
                <w:b w:val="0"/>
                <w:color w:val="263238"/>
                <w:sz w:val="15"/>
              </w:rPr>
              <w:t>Tarif vendor, costing, validity, dan exclusion.</w:t>
            </w:r>
          </w:p>
        </w:tc>
      </w:tr>
      <w:tr>
        <w:tc>
          <w:tcPr>
            <w:tcW w:type="dxa" w:w="3024"/>
            <w:shd w:fill="F3F5F7"/>
            <w:vAlign w:val="center"/>
          </w:tcPr>
          <w:p>
            <w:r/>
            <w:r>
              <w:rPr>
                <w:b w:val="0"/>
                <w:color w:val="263238"/>
                <w:sz w:val="15"/>
              </w:rPr>
              <w:t>Customer Service</w:t>
            </w:r>
          </w:p>
        </w:tc>
        <w:tc>
          <w:tcPr>
            <w:tcW w:type="dxa" w:w="7344"/>
            <w:shd w:fill="F3F5F7"/>
            <w:vAlign w:val="center"/>
          </w:tcPr>
          <w:p>
            <w:r/>
            <w:r>
              <w:rPr>
                <w:b w:val="0"/>
                <w:color w:val="263238"/>
                <w:sz w:val="15"/>
              </w:rPr>
              <w:t>Job opening, koordinasi, timeline, dan status.</w:t>
            </w:r>
          </w:p>
        </w:tc>
      </w:tr>
      <w:tr>
        <w:tc>
          <w:tcPr>
            <w:tcW w:type="dxa" w:w="3024"/>
            <w:vAlign w:val="center"/>
          </w:tcPr>
          <w:p>
            <w:r/>
            <w:r>
              <w:rPr>
                <w:b w:val="0"/>
                <w:color w:val="263238"/>
                <w:sz w:val="15"/>
              </w:rPr>
              <w:t>Dokumentasi</w:t>
            </w:r>
          </w:p>
        </w:tc>
        <w:tc>
          <w:tcPr>
            <w:tcW w:type="dxa" w:w="7344"/>
            <w:vAlign w:val="center"/>
          </w:tcPr>
          <w:p>
            <w:r/>
            <w:r>
              <w:rPr>
                <w:b w:val="0"/>
                <w:color w:val="263238"/>
                <w:sz w:val="15"/>
              </w:rPr>
              <w:t>BL/AWB dan dokumen pengangkutan.</w:t>
            </w:r>
          </w:p>
        </w:tc>
      </w:tr>
      <w:tr>
        <w:tc>
          <w:tcPr>
            <w:tcW w:type="dxa" w:w="3024"/>
            <w:shd w:fill="F3F5F7"/>
            <w:vAlign w:val="center"/>
          </w:tcPr>
          <w:p>
            <w:r/>
            <w:r>
              <w:rPr>
                <w:b w:val="0"/>
                <w:color w:val="263238"/>
                <w:sz w:val="15"/>
              </w:rPr>
              <w:t>EDI/PIB/PEB</w:t>
            </w:r>
          </w:p>
        </w:tc>
        <w:tc>
          <w:tcPr>
            <w:tcW w:type="dxa" w:w="7344"/>
            <w:shd w:fill="F3F5F7"/>
            <w:vAlign w:val="center"/>
          </w:tcPr>
          <w:p>
            <w:r/>
            <w:r>
              <w:rPr>
                <w:b w:val="0"/>
                <w:color w:val="263238"/>
                <w:sz w:val="15"/>
              </w:rPr>
              <w:t>Draft dan penyampaian pemberitahuan pabean.</w:t>
            </w:r>
          </w:p>
        </w:tc>
      </w:tr>
      <w:tr>
        <w:tc>
          <w:tcPr>
            <w:tcW w:type="dxa" w:w="3024"/>
            <w:vAlign w:val="center"/>
          </w:tcPr>
          <w:p>
            <w:r/>
            <w:r>
              <w:rPr>
                <w:b w:val="0"/>
                <w:color w:val="263238"/>
                <w:sz w:val="15"/>
              </w:rPr>
              <w:t>PPJK</w:t>
            </w:r>
          </w:p>
        </w:tc>
        <w:tc>
          <w:tcPr>
            <w:tcW w:type="dxa" w:w="7344"/>
            <w:vAlign w:val="center"/>
          </w:tcPr>
          <w:p>
            <w:r/>
            <w:r>
              <w:rPr>
                <w:b w:val="0"/>
                <w:color w:val="263238"/>
                <w:sz w:val="15"/>
              </w:rPr>
              <w:t>Pengurusan kewajiban pabean berdasarkan kuasa.</w:t>
            </w:r>
          </w:p>
        </w:tc>
      </w:tr>
      <w:tr>
        <w:tc>
          <w:tcPr>
            <w:tcW w:type="dxa" w:w="3024"/>
            <w:shd w:fill="F3F5F7"/>
            <w:vAlign w:val="center"/>
          </w:tcPr>
          <w:p>
            <w:r/>
            <w:r>
              <w:rPr>
                <w:b w:val="0"/>
                <w:color w:val="263238"/>
                <w:sz w:val="15"/>
              </w:rPr>
              <w:t>Operasional</w:t>
            </w:r>
          </w:p>
        </w:tc>
        <w:tc>
          <w:tcPr>
            <w:tcW w:type="dxa" w:w="7344"/>
            <w:shd w:fill="F3F5F7"/>
            <w:vAlign w:val="center"/>
          </w:tcPr>
          <w:p>
            <w:r/>
            <w:r>
              <w:rPr>
                <w:b w:val="0"/>
                <w:color w:val="263238"/>
                <w:sz w:val="15"/>
              </w:rPr>
              <w:t>Pelaksanaan lapangan, clearance, dan delivery.</w:t>
            </w:r>
          </w:p>
        </w:tc>
      </w:tr>
      <w:tr>
        <w:tc>
          <w:tcPr>
            <w:tcW w:type="dxa" w:w="3024"/>
            <w:vAlign w:val="center"/>
          </w:tcPr>
          <w:p>
            <w:r/>
            <w:r>
              <w:rPr>
                <w:b w:val="0"/>
                <w:color w:val="263238"/>
                <w:sz w:val="15"/>
              </w:rPr>
              <w:t>Warehouse</w:t>
            </w:r>
          </w:p>
        </w:tc>
        <w:tc>
          <w:tcPr>
            <w:tcW w:type="dxa" w:w="7344"/>
            <w:vAlign w:val="center"/>
          </w:tcPr>
          <w:p>
            <w:r/>
            <w:r>
              <w:rPr>
                <w:b w:val="0"/>
                <w:color w:val="263238"/>
                <w:sz w:val="15"/>
              </w:rPr>
              <w:t>Receiving, penyimpanan, tally, dan release.</w:t>
            </w:r>
          </w:p>
        </w:tc>
      </w:tr>
      <w:tr>
        <w:tc>
          <w:tcPr>
            <w:tcW w:type="dxa" w:w="3024"/>
            <w:shd w:fill="F3F5F7"/>
            <w:vAlign w:val="center"/>
          </w:tcPr>
          <w:p>
            <w:r/>
            <w:r>
              <w:rPr>
                <w:b w:val="0"/>
                <w:color w:val="263238"/>
                <w:sz w:val="15"/>
              </w:rPr>
              <w:t>Trucking</w:t>
            </w:r>
          </w:p>
        </w:tc>
        <w:tc>
          <w:tcPr>
            <w:tcW w:type="dxa" w:w="7344"/>
            <w:shd w:fill="F3F5F7"/>
            <w:vAlign w:val="center"/>
          </w:tcPr>
          <w:p>
            <w:r/>
            <w:r>
              <w:rPr>
                <w:b w:val="0"/>
                <w:color w:val="263238"/>
                <w:sz w:val="15"/>
              </w:rPr>
              <w:t>Kendaraan, surat jalan, pengiriman, dan POD.</w:t>
            </w:r>
          </w:p>
        </w:tc>
      </w:tr>
      <w:tr>
        <w:tc>
          <w:tcPr>
            <w:tcW w:type="dxa" w:w="3024"/>
            <w:vAlign w:val="center"/>
          </w:tcPr>
          <w:p>
            <w:r/>
            <w:r>
              <w:rPr>
                <w:b w:val="0"/>
                <w:color w:val="263238"/>
                <w:sz w:val="15"/>
              </w:rPr>
              <w:t>Finance</w:t>
            </w:r>
          </w:p>
        </w:tc>
        <w:tc>
          <w:tcPr>
            <w:tcW w:type="dxa" w:w="7344"/>
            <w:vAlign w:val="center"/>
          </w:tcPr>
          <w:p>
            <w:r/>
            <w:r>
              <w:rPr>
                <w:b w:val="0"/>
                <w:color w:val="263238"/>
                <w:sz w:val="15"/>
              </w:rPr>
              <w:t>Pembayaran vendor, rekonsiliasi, dan billing.</w:t>
            </w:r>
          </w:p>
        </w:tc>
      </w:tr>
      <w:tr>
        <w:tc>
          <w:tcPr>
            <w:tcW w:type="dxa" w:w="3024"/>
            <w:shd w:fill="F3F5F7"/>
            <w:vAlign w:val="center"/>
          </w:tcPr>
          <w:p>
            <w:r/>
            <w:r>
              <w:rPr>
                <w:b w:val="0"/>
                <w:color w:val="263238"/>
                <w:sz w:val="15"/>
              </w:rPr>
              <w:t>Origin forwarder</w:t>
            </w:r>
          </w:p>
        </w:tc>
        <w:tc>
          <w:tcPr>
            <w:tcW w:type="dxa" w:w="7344"/>
            <w:shd w:fill="F3F5F7"/>
            <w:vAlign w:val="center"/>
          </w:tcPr>
          <w:p>
            <w:r/>
            <w:r>
              <w:rPr>
                <w:b w:val="0"/>
                <w:color w:val="263238"/>
                <w:sz w:val="15"/>
              </w:rPr>
              <w:t>Pickup, origin handling, dan pre-alert.</w:t>
            </w:r>
          </w:p>
        </w:tc>
      </w:tr>
      <w:tr>
        <w:tc>
          <w:tcPr>
            <w:tcW w:type="dxa" w:w="3024"/>
            <w:vAlign w:val="center"/>
          </w:tcPr>
          <w:p>
            <w:r/>
            <w:r>
              <w:rPr>
                <w:b w:val="0"/>
                <w:color w:val="263238"/>
                <w:sz w:val="15"/>
              </w:rPr>
              <w:t>Carrier</w:t>
            </w:r>
          </w:p>
        </w:tc>
        <w:tc>
          <w:tcPr>
            <w:tcW w:type="dxa" w:w="7344"/>
            <w:vAlign w:val="center"/>
          </w:tcPr>
          <w:p>
            <w:r/>
            <w:r>
              <w:rPr>
                <w:b w:val="0"/>
                <w:color w:val="263238"/>
                <w:sz w:val="15"/>
              </w:rPr>
              <w:t>Pengangkutan serta BL/AWB.</w:t>
            </w:r>
          </w:p>
        </w:tc>
      </w:tr>
      <w:tr>
        <w:tc>
          <w:tcPr>
            <w:tcW w:type="dxa" w:w="3024"/>
            <w:shd w:fill="F3F5F7"/>
            <w:vAlign w:val="center"/>
          </w:tcPr>
          <w:p>
            <w:r/>
            <w:r>
              <w:rPr>
                <w:b w:val="0"/>
                <w:color w:val="263238"/>
                <w:sz w:val="15"/>
              </w:rPr>
              <w:t>Bea Cukai</w:t>
            </w:r>
          </w:p>
        </w:tc>
        <w:tc>
          <w:tcPr>
            <w:tcW w:type="dxa" w:w="7344"/>
            <w:shd w:fill="F3F5F7"/>
            <w:vAlign w:val="center"/>
          </w:tcPr>
          <w:p>
            <w:r/>
            <w:r>
              <w:rPr>
                <w:b w:val="0"/>
                <w:color w:val="263238"/>
                <w:sz w:val="15"/>
              </w:rPr>
              <w:t>Pelayanan dan pengawasan kepabeanan.</w:t>
            </w:r>
          </w:p>
        </w:tc>
      </w:tr>
      <w:tr>
        <w:tc>
          <w:tcPr>
            <w:tcW w:type="dxa" w:w="3024"/>
            <w:vAlign w:val="center"/>
          </w:tcPr>
          <w:p>
            <w:r/>
            <w:r>
              <w:rPr>
                <w:b w:val="0"/>
                <w:color w:val="263238"/>
                <w:sz w:val="15"/>
              </w:rPr>
              <w:t>Instansi lartas</w:t>
            </w:r>
          </w:p>
        </w:tc>
        <w:tc>
          <w:tcPr>
            <w:tcW w:type="dxa" w:w="7344"/>
            <w:vAlign w:val="center"/>
          </w:tcPr>
          <w:p>
            <w:r/>
            <w:r>
              <w:rPr>
                <w:b w:val="0"/>
                <w:color w:val="263238"/>
                <w:sz w:val="15"/>
              </w:rPr>
              <w:t>Penerbitan izin atau rekomendasi.</w:t>
            </w:r>
          </w:p>
        </w:tc>
      </w:tr>
      <w:tr>
        <w:tc>
          <w:tcPr>
            <w:tcW w:type="dxa" w:w="3024"/>
            <w:shd w:fill="F3F5F7"/>
            <w:vAlign w:val="center"/>
          </w:tcPr>
          <w:p>
            <w:r/>
            <w:r>
              <w:rPr>
                <w:b w:val="0"/>
                <w:color w:val="263238"/>
                <w:sz w:val="15"/>
              </w:rPr>
              <w:t>Terminal/TPS</w:t>
            </w:r>
          </w:p>
        </w:tc>
        <w:tc>
          <w:tcPr>
            <w:tcW w:type="dxa" w:w="7344"/>
            <w:shd w:fill="F3F5F7"/>
            <w:vAlign w:val="center"/>
          </w:tcPr>
          <w:p>
            <w:r/>
            <w:r>
              <w:rPr>
                <w:b w:val="0"/>
                <w:color w:val="263238"/>
                <w:sz w:val="15"/>
              </w:rPr>
              <w:t>Bongkar, timbun, gate, dan penyerahan barang.</w:t>
            </w:r>
          </w:p>
        </w:tc>
      </w:tr>
      <w:tr>
        <w:tc>
          <w:tcPr>
            <w:tcW w:type="dxa" w:w="3024"/>
            <w:vAlign w:val="center"/>
          </w:tcPr>
          <w:p>
            <w:r/>
            <w:r>
              <w:rPr>
                <w:b w:val="0"/>
                <w:color w:val="263238"/>
                <w:sz w:val="15"/>
              </w:rPr>
              <w:t>Surveyor/Asuransi</w:t>
            </w:r>
          </w:p>
        </w:tc>
        <w:tc>
          <w:tcPr>
            <w:tcW w:type="dxa" w:w="7344"/>
            <w:vAlign w:val="center"/>
          </w:tcPr>
          <w:p>
            <w:r/>
            <w:r>
              <w:rPr>
                <w:b w:val="0"/>
                <w:color w:val="263238"/>
                <w:sz w:val="15"/>
              </w:rPr>
              <w:t>Verifikasi teknis, polis, dan klaim.</w:t>
            </w:r>
          </w:p>
        </w:tc>
      </w:tr>
    </w:tbl>
    <w:p/>
    <w:p>
      <w:pPr>
        <w:pStyle w:val="Heading1"/>
        <w:pageBreakBefore/>
      </w:pPr>
      <w:r>
        <w:t>4. Flowchart Proses Bisnis Utama</w:t>
      </w:r>
    </w:p>
    <w:p>
      <w:pPr>
        <w:jc w:val="center"/>
      </w:pPr>
      <w:r>
        <w:drawing>
          <wp:inline xmlns:a="http://schemas.openxmlformats.org/drawingml/2006/main" xmlns:pic="http://schemas.openxmlformats.org/drawingml/2006/picture">
            <wp:extent cx="5166360" cy="6735703"/>
            <wp:docPr id="1" name="Picture 1"/>
            <wp:cNvGraphicFramePr>
              <a:graphicFrameLocks noChangeAspect="1"/>
            </wp:cNvGraphicFramePr>
            <a:graphic>
              <a:graphicData uri="http://schemas.openxmlformats.org/drawingml/2006/picture">
                <pic:pic>
                  <pic:nvPicPr>
                    <pic:cNvPr id="0" name="01_proses_bisnis_utama.png"/>
                    <pic:cNvPicPr/>
                  </pic:nvPicPr>
                  <pic:blipFill>
                    <a:blip r:embed="rId9"/>
                    <a:stretch>
                      <a:fillRect/>
                    </a:stretch>
                  </pic:blipFill>
                  <pic:spPr>
                    <a:xfrm>
                      <a:off x="0" y="0"/>
                      <a:ext cx="5166360" cy="6735703"/>
                    </a:xfrm>
                    <a:prstGeom prst="rect"/>
                  </pic:spPr>
                </pic:pic>
              </a:graphicData>
            </a:graphic>
          </wp:inline>
        </w:drawing>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2355B"/>
            <w:vAlign w:val="center"/>
          </w:tcPr>
          <w:p>
            <w:r/>
            <w:r>
              <w:rPr>
                <w:b/>
                <w:color w:val="FFFFFF"/>
                <w:sz w:val="16"/>
              </w:rPr>
              <w:t>Tahap</w:t>
            </w:r>
          </w:p>
        </w:tc>
        <w:tc>
          <w:tcPr>
            <w:tcW w:type="dxa" w:w="2448"/>
            <w:shd w:fill="12355B"/>
            <w:vAlign w:val="center"/>
          </w:tcPr>
          <w:p>
            <w:r/>
            <w:r>
              <w:rPr>
                <w:b/>
                <w:color w:val="FFFFFF"/>
                <w:sz w:val="16"/>
              </w:rPr>
              <w:t>PIC</w:t>
            </w:r>
          </w:p>
        </w:tc>
        <w:tc>
          <w:tcPr>
            <w:tcW w:type="dxa" w:w="5616"/>
            <w:shd w:fill="12355B"/>
            <w:vAlign w:val="center"/>
          </w:tcPr>
          <w:p>
            <w:r/>
            <w:r>
              <w:rPr>
                <w:b/>
                <w:color w:val="FFFFFF"/>
                <w:sz w:val="16"/>
              </w:rPr>
              <w:t>Dokumen/Kontrol</w:t>
            </w:r>
          </w:p>
        </w:tc>
      </w:tr>
      <w:tr>
        <w:tc>
          <w:tcPr>
            <w:tcW w:type="dxa" w:w="2304"/>
            <w:vAlign w:val="center"/>
          </w:tcPr>
          <w:p>
            <w:r/>
            <w:r>
              <w:rPr>
                <w:b w:val="0"/>
                <w:color w:val="263238"/>
                <w:sz w:val="15"/>
              </w:rPr>
              <w:t>Inquiry</w:t>
            </w:r>
          </w:p>
        </w:tc>
        <w:tc>
          <w:tcPr>
            <w:tcW w:type="dxa" w:w="2448"/>
            <w:vAlign w:val="center"/>
          </w:tcPr>
          <w:p>
            <w:r/>
            <w:r>
              <w:rPr>
                <w:b w:val="0"/>
                <w:color w:val="263238"/>
                <w:sz w:val="15"/>
              </w:rPr>
              <w:t>Sales</w:t>
            </w:r>
          </w:p>
        </w:tc>
        <w:tc>
          <w:tcPr>
            <w:tcW w:type="dxa" w:w="5616"/>
            <w:vAlign w:val="center"/>
          </w:tcPr>
          <w:p>
            <w:r/>
            <w:r>
              <w:rPr>
                <w:b w:val="0"/>
                <w:color w:val="263238"/>
                <w:sz w:val="15"/>
              </w:rPr>
              <w:t>Inquiry form</w:t>
            </w:r>
          </w:p>
        </w:tc>
      </w:tr>
      <w:tr>
        <w:tc>
          <w:tcPr>
            <w:tcW w:type="dxa" w:w="2304"/>
            <w:shd w:fill="F3F5F7"/>
            <w:vAlign w:val="center"/>
          </w:tcPr>
          <w:p>
            <w:r/>
            <w:r>
              <w:rPr>
                <w:b w:val="0"/>
                <w:color w:val="263238"/>
                <w:sz w:val="15"/>
              </w:rPr>
              <w:t>Costing</w:t>
            </w:r>
          </w:p>
        </w:tc>
        <w:tc>
          <w:tcPr>
            <w:tcW w:type="dxa" w:w="2448"/>
            <w:shd w:fill="F3F5F7"/>
            <w:vAlign w:val="center"/>
          </w:tcPr>
          <w:p>
            <w:r/>
            <w:r>
              <w:rPr>
                <w:b w:val="0"/>
                <w:color w:val="263238"/>
                <w:sz w:val="15"/>
              </w:rPr>
              <w:t>Pricing</w:t>
            </w:r>
          </w:p>
        </w:tc>
        <w:tc>
          <w:tcPr>
            <w:tcW w:type="dxa" w:w="5616"/>
            <w:shd w:fill="F3F5F7"/>
            <w:vAlign w:val="center"/>
          </w:tcPr>
          <w:p>
            <w:r/>
            <w:r>
              <w:rPr>
                <w:b w:val="0"/>
                <w:color w:val="263238"/>
                <w:sz w:val="15"/>
              </w:rPr>
              <w:t>Cost sheet dan quotation</w:t>
            </w:r>
          </w:p>
        </w:tc>
      </w:tr>
      <w:tr>
        <w:tc>
          <w:tcPr>
            <w:tcW w:type="dxa" w:w="2304"/>
            <w:vAlign w:val="center"/>
          </w:tcPr>
          <w:p>
            <w:r/>
            <w:r>
              <w:rPr>
                <w:b w:val="0"/>
                <w:color w:val="263238"/>
                <w:sz w:val="15"/>
              </w:rPr>
              <w:t>Booking</w:t>
            </w:r>
          </w:p>
        </w:tc>
        <w:tc>
          <w:tcPr>
            <w:tcW w:type="dxa" w:w="2448"/>
            <w:vAlign w:val="center"/>
          </w:tcPr>
          <w:p>
            <w:r/>
            <w:r>
              <w:rPr>
                <w:b w:val="0"/>
                <w:color w:val="263238"/>
                <w:sz w:val="15"/>
              </w:rPr>
              <w:t>CS/Operation</w:t>
            </w:r>
          </w:p>
        </w:tc>
        <w:tc>
          <w:tcPr>
            <w:tcW w:type="dxa" w:w="5616"/>
            <w:vAlign w:val="center"/>
          </w:tcPr>
          <w:p>
            <w:r/>
            <w:r>
              <w:rPr>
                <w:b w:val="0"/>
                <w:color w:val="263238"/>
                <w:sz w:val="15"/>
              </w:rPr>
              <w:t>Booking confirmation</w:t>
            </w:r>
          </w:p>
        </w:tc>
      </w:tr>
      <w:tr>
        <w:tc>
          <w:tcPr>
            <w:tcW w:type="dxa" w:w="2304"/>
            <w:shd w:fill="F3F5F7"/>
            <w:vAlign w:val="center"/>
          </w:tcPr>
          <w:p>
            <w:r/>
            <w:r>
              <w:rPr>
                <w:b w:val="0"/>
                <w:color w:val="263238"/>
                <w:sz w:val="15"/>
              </w:rPr>
              <w:t>Customs</w:t>
            </w:r>
          </w:p>
        </w:tc>
        <w:tc>
          <w:tcPr>
            <w:tcW w:type="dxa" w:w="2448"/>
            <w:shd w:fill="F3F5F7"/>
            <w:vAlign w:val="center"/>
          </w:tcPr>
          <w:p>
            <w:r/>
            <w:r>
              <w:rPr>
                <w:b w:val="0"/>
                <w:color w:val="263238"/>
                <w:sz w:val="15"/>
              </w:rPr>
              <w:t>EDI/PPJK</w:t>
            </w:r>
          </w:p>
        </w:tc>
        <w:tc>
          <w:tcPr>
            <w:tcW w:type="dxa" w:w="5616"/>
            <w:shd w:fill="F3F5F7"/>
            <w:vAlign w:val="center"/>
          </w:tcPr>
          <w:p>
            <w:r/>
            <w:r>
              <w:rPr>
                <w:b w:val="0"/>
                <w:color w:val="263238"/>
                <w:sz w:val="15"/>
              </w:rPr>
              <w:t>PIB/PEB dan respons sistem</w:t>
            </w:r>
          </w:p>
        </w:tc>
      </w:tr>
      <w:tr>
        <w:tc>
          <w:tcPr>
            <w:tcW w:type="dxa" w:w="2304"/>
            <w:vAlign w:val="center"/>
          </w:tcPr>
          <w:p>
            <w:r/>
            <w:r>
              <w:rPr>
                <w:b w:val="0"/>
                <w:color w:val="263238"/>
                <w:sz w:val="15"/>
              </w:rPr>
              <w:t>Delivery</w:t>
            </w:r>
          </w:p>
        </w:tc>
        <w:tc>
          <w:tcPr>
            <w:tcW w:type="dxa" w:w="2448"/>
            <w:vAlign w:val="center"/>
          </w:tcPr>
          <w:p>
            <w:r/>
            <w:r>
              <w:rPr>
                <w:b w:val="0"/>
                <w:color w:val="263238"/>
                <w:sz w:val="15"/>
              </w:rPr>
              <w:t>Operation/Trucking</w:t>
            </w:r>
          </w:p>
        </w:tc>
        <w:tc>
          <w:tcPr>
            <w:tcW w:type="dxa" w:w="5616"/>
            <w:vAlign w:val="center"/>
          </w:tcPr>
          <w:p>
            <w:r/>
            <w:r>
              <w:rPr>
                <w:b w:val="0"/>
                <w:color w:val="263238"/>
                <w:sz w:val="15"/>
              </w:rPr>
              <w:t>Surat jalan dan POD</w:t>
            </w:r>
          </w:p>
        </w:tc>
      </w:tr>
      <w:tr>
        <w:tc>
          <w:tcPr>
            <w:tcW w:type="dxa" w:w="2304"/>
            <w:shd w:fill="F3F5F7"/>
            <w:vAlign w:val="center"/>
          </w:tcPr>
          <w:p>
            <w:r/>
            <w:r>
              <w:rPr>
                <w:b w:val="0"/>
                <w:color w:val="263238"/>
                <w:sz w:val="15"/>
              </w:rPr>
              <w:t>Billing</w:t>
            </w:r>
          </w:p>
        </w:tc>
        <w:tc>
          <w:tcPr>
            <w:tcW w:type="dxa" w:w="2448"/>
            <w:shd w:fill="F3F5F7"/>
            <w:vAlign w:val="center"/>
          </w:tcPr>
          <w:p>
            <w:r/>
            <w:r>
              <w:rPr>
                <w:b w:val="0"/>
                <w:color w:val="263238"/>
                <w:sz w:val="15"/>
              </w:rPr>
              <w:t>Finance</w:t>
            </w:r>
          </w:p>
        </w:tc>
        <w:tc>
          <w:tcPr>
            <w:tcW w:type="dxa" w:w="5616"/>
            <w:shd w:fill="F3F5F7"/>
            <w:vAlign w:val="center"/>
          </w:tcPr>
          <w:p>
            <w:r/>
            <w:r>
              <w:rPr>
                <w:b w:val="0"/>
                <w:color w:val="263238"/>
                <w:sz w:val="15"/>
              </w:rPr>
              <w:t>Cost sheet dan invoice</w:t>
            </w:r>
          </w:p>
        </w:tc>
      </w:tr>
    </w:tbl>
    <w:p/>
    <w:p>
      <w:pPr>
        <w:pStyle w:val="Heading1"/>
        <w:pageBreakBefore/>
      </w:pPr>
      <w:r>
        <w:t>5. Flowchart Customs Clearance Impor</w:t>
      </w:r>
    </w:p>
    <w:p>
      <w:pPr>
        <w:jc w:val="center"/>
      </w:pPr>
      <w:r>
        <w:drawing>
          <wp:inline xmlns:a="http://schemas.openxmlformats.org/drawingml/2006/main" xmlns:pic="http://schemas.openxmlformats.org/drawingml/2006/picture">
            <wp:extent cx="5166360" cy="6735703"/>
            <wp:docPr id="2" name="Picture 2"/>
            <wp:cNvGraphicFramePr>
              <a:graphicFrameLocks noChangeAspect="1"/>
            </wp:cNvGraphicFramePr>
            <a:graphic>
              <a:graphicData uri="http://schemas.openxmlformats.org/drawingml/2006/picture">
                <pic:pic>
                  <pic:nvPicPr>
                    <pic:cNvPr id="0" name="02_customs_impor.png"/>
                    <pic:cNvPicPr/>
                  </pic:nvPicPr>
                  <pic:blipFill>
                    <a:blip r:embed="rId10"/>
                    <a:stretch>
                      <a:fillRect/>
                    </a:stretch>
                  </pic:blipFill>
                  <pic:spPr>
                    <a:xfrm>
                      <a:off x="0" y="0"/>
                      <a:ext cx="5166360" cy="6735703"/>
                    </a:xfrm>
                    <a:prstGeom prst="rect"/>
                  </pic:spPr>
                </pic:pic>
              </a:graphicData>
            </a:graphic>
          </wp:inline>
        </w:drawing>
      </w:r>
    </w:p>
    <w:p>
      <w:r>
        <w:t>Kontrol utama: dokumen lengkap, identifikasi barang memadai, izin tersedia, Draft PIB disetujui importir, billing dibayar, respons pabean dipenuhi, dan SPPB terbit sebelum pengeluaran barang.</w:t>
      </w:r>
    </w:p>
    <w:p>
      <w:pPr>
        <w:pStyle w:val="Heading1"/>
        <w:pageBreakBefore/>
      </w:pPr>
      <w:r>
        <w:t>6. Flowchart Customs Clearance Ekspor</w:t>
      </w:r>
    </w:p>
    <w:p>
      <w:pPr>
        <w:jc w:val="center"/>
      </w:pPr>
      <w:r>
        <w:drawing>
          <wp:inline xmlns:a="http://schemas.openxmlformats.org/drawingml/2006/main" xmlns:pic="http://schemas.openxmlformats.org/drawingml/2006/picture">
            <wp:extent cx="5166360" cy="6735703"/>
            <wp:docPr id="3" name="Picture 3"/>
            <wp:cNvGraphicFramePr>
              <a:graphicFrameLocks noChangeAspect="1"/>
            </wp:cNvGraphicFramePr>
            <a:graphic>
              <a:graphicData uri="http://schemas.openxmlformats.org/drawingml/2006/picture">
                <pic:pic>
                  <pic:nvPicPr>
                    <pic:cNvPr id="0" name="03_customs_ekspor.png"/>
                    <pic:cNvPicPr/>
                  </pic:nvPicPr>
                  <pic:blipFill>
                    <a:blip r:embed="rId11"/>
                    <a:stretch>
                      <a:fillRect/>
                    </a:stretch>
                  </pic:blipFill>
                  <pic:spPr>
                    <a:xfrm>
                      <a:off x="0" y="0"/>
                      <a:ext cx="5166360" cy="6735703"/>
                    </a:xfrm>
                    <a:prstGeom prst="rect"/>
                  </pic:spPr>
                </pic:pic>
              </a:graphicData>
            </a:graphic>
          </wp:inline>
        </w:drawing>
      </w:r>
    </w:p>
    <w:p>
      <w:r>
        <w:t>Kontrol utama: izin ekspor, booking dan cut-off, stuffing, seal, VGM, persetujuan Draft PEB, NPE, kesesuaian BL/AWB, serta COO/SKA apabila diperlukan.</w:t>
      </w:r>
    </w:p>
    <w:p>
      <w:pPr>
        <w:pStyle w:val="Heading1"/>
        <w:pageBreakBefore/>
      </w:pPr>
      <w:r>
        <w:t>7. Flowchart Koordinasi Internal</w:t>
      </w:r>
    </w:p>
    <w:p>
      <w:pPr>
        <w:jc w:val="center"/>
      </w:pPr>
      <w:r>
        <w:drawing>
          <wp:inline xmlns:a="http://schemas.openxmlformats.org/drawingml/2006/main" xmlns:pic="http://schemas.openxmlformats.org/drawingml/2006/picture">
            <wp:extent cx="5166360" cy="6328066"/>
            <wp:docPr id="4" name="Picture 4"/>
            <wp:cNvGraphicFramePr>
              <a:graphicFrameLocks noChangeAspect="1"/>
            </wp:cNvGraphicFramePr>
            <a:graphic>
              <a:graphicData uri="http://schemas.openxmlformats.org/drawingml/2006/picture">
                <pic:pic>
                  <pic:nvPicPr>
                    <pic:cNvPr id="0" name="04_koordinasi_internal.png"/>
                    <pic:cNvPicPr/>
                  </pic:nvPicPr>
                  <pic:blipFill>
                    <a:blip r:embed="rId12"/>
                    <a:stretch>
                      <a:fillRect/>
                    </a:stretch>
                  </pic:blipFill>
                  <pic:spPr>
                    <a:xfrm>
                      <a:off x="0" y="0"/>
                      <a:ext cx="5166360" cy="6328066"/>
                    </a:xfrm>
                    <a:prstGeom prst="rect"/>
                  </pic:spPr>
                </pic:pic>
              </a:graphicData>
            </a:graphic>
          </wp:inline>
        </w:drawing>
      </w:r>
    </w:p>
    <w:p>
      <w:r>
        <w:t>Setiap serah terima pekerjaan wajib menggunakan job number, PIC, checklist, dokumen pendukung, target waktu, dan status terakhir yang dapat ditelusuri.</w:t>
      </w:r>
    </w:p>
    <w:p>
      <w:pPr>
        <w:pStyle w:val="Heading1"/>
        <w:pageBreakBefore/>
      </w:pPr>
      <w:r>
        <w:t>8. Matriks Serah Terima Internal</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12355B"/>
            <w:vAlign w:val="center"/>
          </w:tcPr>
          <w:p>
            <w:r/>
            <w:r>
              <w:rPr>
                <w:b/>
                <w:color w:val="FFFFFF"/>
                <w:sz w:val="16"/>
              </w:rPr>
              <w:t>Serah Terima</w:t>
            </w:r>
          </w:p>
        </w:tc>
        <w:tc>
          <w:tcPr>
            <w:tcW w:type="dxa" w:w="4896"/>
            <w:shd w:fill="12355B"/>
            <w:vAlign w:val="center"/>
          </w:tcPr>
          <w:p>
            <w:r/>
            <w:r>
              <w:rPr>
                <w:b/>
                <w:color w:val="FFFFFF"/>
                <w:sz w:val="16"/>
              </w:rPr>
              <w:t>Informasi Wajib</w:t>
            </w:r>
          </w:p>
        </w:tc>
        <w:tc>
          <w:tcPr>
            <w:tcW w:type="dxa" w:w="3312"/>
            <w:shd w:fill="12355B"/>
            <w:vAlign w:val="center"/>
          </w:tcPr>
          <w:p>
            <w:r/>
            <w:r>
              <w:rPr>
                <w:b/>
                <w:color w:val="FFFFFF"/>
                <w:sz w:val="16"/>
              </w:rPr>
              <w:t>Kontrol</w:t>
            </w:r>
          </w:p>
        </w:tc>
      </w:tr>
      <w:tr>
        <w:tc>
          <w:tcPr>
            <w:tcW w:type="dxa" w:w="2448"/>
            <w:vAlign w:val="center"/>
          </w:tcPr>
          <w:p>
            <w:r/>
            <w:r>
              <w:rPr>
                <w:b w:val="0"/>
                <w:color w:val="263238"/>
                <w:sz w:val="15"/>
              </w:rPr>
              <w:t>Sales → Pricing</w:t>
            </w:r>
          </w:p>
        </w:tc>
        <w:tc>
          <w:tcPr>
            <w:tcW w:type="dxa" w:w="4896"/>
            <w:vAlign w:val="center"/>
          </w:tcPr>
          <w:p>
            <w:r/>
            <w:r>
              <w:rPr>
                <w:b w:val="0"/>
                <w:color w:val="263238"/>
                <w:sz w:val="15"/>
              </w:rPr>
              <w:t>Rute, barang, volume, incoterm, moda, scope</w:t>
            </w:r>
          </w:p>
        </w:tc>
        <w:tc>
          <w:tcPr>
            <w:tcW w:type="dxa" w:w="3312"/>
            <w:vAlign w:val="center"/>
          </w:tcPr>
          <w:p>
            <w:r/>
            <w:r>
              <w:rPr>
                <w:b w:val="0"/>
                <w:color w:val="263238"/>
                <w:sz w:val="15"/>
              </w:rPr>
              <w:t>Inquiry checklist</w:t>
            </w:r>
          </w:p>
        </w:tc>
      </w:tr>
      <w:tr>
        <w:tc>
          <w:tcPr>
            <w:tcW w:type="dxa" w:w="2448"/>
            <w:shd w:fill="F3F5F7"/>
            <w:vAlign w:val="center"/>
          </w:tcPr>
          <w:p>
            <w:r/>
            <w:r>
              <w:rPr>
                <w:b w:val="0"/>
                <w:color w:val="263238"/>
                <w:sz w:val="15"/>
              </w:rPr>
              <w:t>Pricing → Sales/CS</w:t>
            </w:r>
          </w:p>
        </w:tc>
        <w:tc>
          <w:tcPr>
            <w:tcW w:type="dxa" w:w="4896"/>
            <w:shd w:fill="F3F5F7"/>
            <w:vAlign w:val="center"/>
          </w:tcPr>
          <w:p>
            <w:r/>
            <w:r>
              <w:rPr>
                <w:b w:val="0"/>
                <w:color w:val="263238"/>
                <w:sz w:val="15"/>
              </w:rPr>
              <w:t>Costing, validity, exclusion, vendor</w:t>
            </w:r>
          </w:p>
        </w:tc>
        <w:tc>
          <w:tcPr>
            <w:tcW w:type="dxa" w:w="3312"/>
            <w:shd w:fill="F3F5F7"/>
            <w:vAlign w:val="center"/>
          </w:tcPr>
          <w:p>
            <w:r/>
            <w:r>
              <w:rPr>
                <w:b w:val="0"/>
                <w:color w:val="263238"/>
                <w:sz w:val="15"/>
              </w:rPr>
              <w:t>Approved quotation</w:t>
            </w:r>
          </w:p>
        </w:tc>
      </w:tr>
      <w:tr>
        <w:tc>
          <w:tcPr>
            <w:tcW w:type="dxa" w:w="2448"/>
            <w:vAlign w:val="center"/>
          </w:tcPr>
          <w:p>
            <w:r/>
            <w:r>
              <w:rPr>
                <w:b w:val="0"/>
                <w:color w:val="263238"/>
                <w:sz w:val="15"/>
              </w:rPr>
              <w:t>Sales → CS</w:t>
            </w:r>
          </w:p>
        </w:tc>
        <w:tc>
          <w:tcPr>
            <w:tcW w:type="dxa" w:w="4896"/>
            <w:vAlign w:val="center"/>
          </w:tcPr>
          <w:p>
            <w:r/>
            <w:r>
              <w:rPr>
                <w:b w:val="0"/>
                <w:color w:val="263238"/>
                <w:sz w:val="15"/>
              </w:rPr>
              <w:t>Quotation disetujui dan kontak customer</w:t>
            </w:r>
          </w:p>
        </w:tc>
        <w:tc>
          <w:tcPr>
            <w:tcW w:type="dxa" w:w="3312"/>
            <w:vAlign w:val="center"/>
          </w:tcPr>
          <w:p>
            <w:r/>
            <w:r>
              <w:rPr>
                <w:b w:val="0"/>
                <w:color w:val="263238"/>
                <w:sz w:val="15"/>
              </w:rPr>
              <w:t>Job handover</w:t>
            </w:r>
          </w:p>
        </w:tc>
      </w:tr>
      <w:tr>
        <w:tc>
          <w:tcPr>
            <w:tcW w:type="dxa" w:w="2448"/>
            <w:shd w:fill="F3F5F7"/>
            <w:vAlign w:val="center"/>
          </w:tcPr>
          <w:p>
            <w:r/>
            <w:r>
              <w:rPr>
                <w:b w:val="0"/>
                <w:color w:val="263238"/>
                <w:sz w:val="15"/>
              </w:rPr>
              <w:t>CS → EDI</w:t>
            </w:r>
          </w:p>
        </w:tc>
        <w:tc>
          <w:tcPr>
            <w:tcW w:type="dxa" w:w="4896"/>
            <w:shd w:fill="F3F5F7"/>
            <w:vAlign w:val="center"/>
          </w:tcPr>
          <w:p>
            <w:r/>
            <w:r>
              <w:rPr>
                <w:b w:val="0"/>
                <w:color w:val="263238"/>
                <w:sz w:val="15"/>
              </w:rPr>
              <w:t>Dokumen final, instruksi, timeline</w:t>
            </w:r>
          </w:p>
        </w:tc>
        <w:tc>
          <w:tcPr>
            <w:tcW w:type="dxa" w:w="3312"/>
            <w:shd w:fill="F3F5F7"/>
            <w:vAlign w:val="center"/>
          </w:tcPr>
          <w:p>
            <w:r/>
            <w:r>
              <w:rPr>
                <w:b w:val="0"/>
                <w:color w:val="263238"/>
                <w:sz w:val="15"/>
              </w:rPr>
              <w:t>Document checklist</w:t>
            </w:r>
          </w:p>
        </w:tc>
      </w:tr>
      <w:tr>
        <w:tc>
          <w:tcPr>
            <w:tcW w:type="dxa" w:w="2448"/>
            <w:vAlign w:val="center"/>
          </w:tcPr>
          <w:p>
            <w:r/>
            <w:r>
              <w:rPr>
                <w:b w:val="0"/>
                <w:color w:val="263238"/>
                <w:sz w:val="15"/>
              </w:rPr>
              <w:t>EDI → Operasional</w:t>
            </w:r>
          </w:p>
        </w:tc>
        <w:tc>
          <w:tcPr>
            <w:tcW w:type="dxa" w:w="4896"/>
            <w:vAlign w:val="center"/>
          </w:tcPr>
          <w:p>
            <w:r/>
            <w:r>
              <w:rPr>
                <w:b w:val="0"/>
                <w:color w:val="263238"/>
                <w:sz w:val="15"/>
              </w:rPr>
              <w:t>Status PIB/PEB dan release</w:t>
            </w:r>
          </w:p>
        </w:tc>
        <w:tc>
          <w:tcPr>
            <w:tcW w:type="dxa" w:w="3312"/>
            <w:vAlign w:val="center"/>
          </w:tcPr>
          <w:p>
            <w:r/>
            <w:r>
              <w:rPr>
                <w:b w:val="0"/>
                <w:color w:val="263238"/>
                <w:sz w:val="15"/>
              </w:rPr>
              <w:t>Customs report</w:t>
            </w:r>
          </w:p>
        </w:tc>
      </w:tr>
      <w:tr>
        <w:tc>
          <w:tcPr>
            <w:tcW w:type="dxa" w:w="2448"/>
            <w:shd w:fill="F3F5F7"/>
            <w:vAlign w:val="center"/>
          </w:tcPr>
          <w:p>
            <w:r/>
            <w:r>
              <w:rPr>
                <w:b w:val="0"/>
                <w:color w:val="263238"/>
                <w:sz w:val="15"/>
              </w:rPr>
              <w:t>Operasional → Trucking</w:t>
            </w:r>
          </w:p>
        </w:tc>
        <w:tc>
          <w:tcPr>
            <w:tcW w:type="dxa" w:w="4896"/>
            <w:shd w:fill="F3F5F7"/>
            <w:vAlign w:val="center"/>
          </w:tcPr>
          <w:p>
            <w:r/>
            <w:r>
              <w:rPr>
                <w:b w:val="0"/>
                <w:color w:val="263238"/>
                <w:sz w:val="15"/>
              </w:rPr>
              <w:t>Lokasi, jadwal, cargo detail</w:t>
            </w:r>
          </w:p>
        </w:tc>
        <w:tc>
          <w:tcPr>
            <w:tcW w:type="dxa" w:w="3312"/>
            <w:shd w:fill="F3F5F7"/>
            <w:vAlign w:val="center"/>
          </w:tcPr>
          <w:p>
            <w:r/>
            <w:r>
              <w:rPr>
                <w:b w:val="0"/>
                <w:color w:val="263238"/>
                <w:sz w:val="15"/>
              </w:rPr>
              <w:t>Transport order</w:t>
            </w:r>
          </w:p>
        </w:tc>
      </w:tr>
      <w:tr>
        <w:tc>
          <w:tcPr>
            <w:tcW w:type="dxa" w:w="2448"/>
            <w:vAlign w:val="center"/>
          </w:tcPr>
          <w:p>
            <w:r/>
            <w:r>
              <w:rPr>
                <w:b w:val="0"/>
                <w:color w:val="263238"/>
                <w:sz w:val="15"/>
              </w:rPr>
              <w:t>Trucking → CS</w:t>
            </w:r>
          </w:p>
        </w:tc>
        <w:tc>
          <w:tcPr>
            <w:tcW w:type="dxa" w:w="4896"/>
            <w:vAlign w:val="center"/>
          </w:tcPr>
          <w:p>
            <w:r/>
            <w:r>
              <w:rPr>
                <w:b w:val="0"/>
                <w:color w:val="263238"/>
                <w:sz w:val="15"/>
              </w:rPr>
              <w:t>Status kendaraan, surat jalan, POD</w:t>
            </w:r>
          </w:p>
        </w:tc>
        <w:tc>
          <w:tcPr>
            <w:tcW w:type="dxa" w:w="3312"/>
            <w:vAlign w:val="center"/>
          </w:tcPr>
          <w:p>
            <w:r/>
            <w:r>
              <w:rPr>
                <w:b w:val="0"/>
                <w:color w:val="263238"/>
                <w:sz w:val="15"/>
              </w:rPr>
              <w:t>Delivery tracker</w:t>
            </w:r>
          </w:p>
        </w:tc>
      </w:tr>
      <w:tr>
        <w:tc>
          <w:tcPr>
            <w:tcW w:type="dxa" w:w="2448"/>
            <w:shd w:fill="F3F5F7"/>
            <w:vAlign w:val="center"/>
          </w:tcPr>
          <w:p>
            <w:r/>
            <w:r>
              <w:rPr>
                <w:b w:val="0"/>
                <w:color w:val="263238"/>
                <w:sz w:val="15"/>
              </w:rPr>
              <w:t>CS → Finance</w:t>
            </w:r>
          </w:p>
        </w:tc>
        <w:tc>
          <w:tcPr>
            <w:tcW w:type="dxa" w:w="4896"/>
            <w:shd w:fill="F3F5F7"/>
            <w:vAlign w:val="center"/>
          </w:tcPr>
          <w:p>
            <w:r/>
            <w:r>
              <w:rPr>
                <w:b w:val="0"/>
                <w:color w:val="263238"/>
                <w:sz w:val="15"/>
              </w:rPr>
              <w:t>Cost sheet dan billable items</w:t>
            </w:r>
          </w:p>
        </w:tc>
        <w:tc>
          <w:tcPr>
            <w:tcW w:type="dxa" w:w="3312"/>
            <w:shd w:fill="F3F5F7"/>
            <w:vAlign w:val="center"/>
          </w:tcPr>
          <w:p>
            <w:r/>
            <w:r>
              <w:rPr>
                <w:b w:val="0"/>
                <w:color w:val="263238"/>
                <w:sz w:val="15"/>
              </w:rPr>
              <w:t>Billing instruction</w:t>
            </w:r>
          </w:p>
        </w:tc>
      </w:tr>
      <w:tr>
        <w:tc>
          <w:tcPr>
            <w:tcW w:type="dxa" w:w="2448"/>
            <w:vAlign w:val="center"/>
          </w:tcPr>
          <w:p>
            <w:r/>
            <w:r>
              <w:rPr>
                <w:b w:val="0"/>
                <w:color w:val="263238"/>
                <w:sz w:val="15"/>
              </w:rPr>
              <w:t>Finance → Management</w:t>
            </w:r>
          </w:p>
        </w:tc>
        <w:tc>
          <w:tcPr>
            <w:tcW w:type="dxa" w:w="4896"/>
            <w:vAlign w:val="center"/>
          </w:tcPr>
          <w:p>
            <w:r/>
            <w:r>
              <w:rPr>
                <w:b w:val="0"/>
                <w:color w:val="263238"/>
                <w:sz w:val="15"/>
              </w:rPr>
              <w:t>Revenue, cost, margin, outstanding</w:t>
            </w:r>
          </w:p>
        </w:tc>
        <w:tc>
          <w:tcPr>
            <w:tcW w:type="dxa" w:w="3312"/>
            <w:vAlign w:val="center"/>
          </w:tcPr>
          <w:p>
            <w:r/>
            <w:r>
              <w:rPr>
                <w:b w:val="0"/>
                <w:color w:val="263238"/>
                <w:sz w:val="15"/>
              </w:rPr>
              <w:t>Profitability report</w:t>
            </w:r>
          </w:p>
        </w:tc>
      </w:tr>
    </w:tbl>
    <w:p/>
    <w:p>
      <w:pPr>
        <w:pStyle w:val="Heading2"/>
      </w:pPr>
      <w:r>
        <w:t>Aturan Koordinasi</w:t>
      </w:r>
    </w:p>
    <w:p>
      <w:pPr>
        <w:pStyle w:val="ListBullet"/>
      </w:pPr>
      <w:r>
        <w:t>Satu shipment menggunakan satu job number dan satu PIC utama.</w:t>
      </w:r>
    </w:p>
    <w:p>
      <w:pPr>
        <w:pStyle w:val="ListBullet"/>
      </w:pPr>
      <w:r>
        <w:t>Semua instruksi dan persetujuan pelanggan dikonfirmasi tertulis.</w:t>
      </w:r>
    </w:p>
    <w:p>
      <w:pPr>
        <w:pStyle w:val="ListBullet"/>
      </w:pPr>
      <w:r>
        <w:t>Draft PIB/PEB harus disetujui sebelum submit.</w:t>
      </w:r>
    </w:p>
    <w:p>
      <w:pPr>
        <w:pStyle w:val="ListBullet"/>
      </w:pPr>
      <w:r>
        <w:t>Perubahan rute, biaya, atau ruang lingkup harus dicatat dan disetujui.</w:t>
      </w:r>
    </w:p>
    <w:p>
      <w:pPr>
        <w:pStyle w:val="ListBullet"/>
      </w:pPr>
      <w:r>
        <w:t>Kendala kritis segera dieskalasikan.</w:t>
      </w:r>
    </w:p>
    <w:p>
      <w:pPr>
        <w:pStyle w:val="ListBullet"/>
      </w:pPr>
      <w:r>
        <w:t>Job ditutup setelah POD, biaya vendor, billing, dan arsip selesai.</w:t>
      </w:r>
    </w:p>
    <w:p>
      <w:pPr>
        <w:pStyle w:val="Heading1"/>
        <w:pageBreakBefore/>
      </w:pPr>
      <w:r>
        <w:t>9. Risiko dan Tindakan Mitigasi</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88"/>
            <w:shd w:fill="12355B"/>
            <w:vAlign w:val="center"/>
          </w:tcPr>
          <w:p>
            <w:r/>
            <w:r>
              <w:rPr>
                <w:b/>
                <w:color w:val="FFFFFF"/>
                <w:sz w:val="16"/>
              </w:rPr>
              <w:t>Risiko</w:t>
            </w:r>
          </w:p>
        </w:tc>
        <w:tc>
          <w:tcPr>
            <w:tcW w:type="dxa" w:w="2088"/>
            <w:shd w:fill="12355B"/>
            <w:vAlign w:val="center"/>
          </w:tcPr>
          <w:p>
            <w:r/>
            <w:r>
              <w:rPr>
                <w:b/>
                <w:color w:val="FFFFFF"/>
                <w:sz w:val="16"/>
              </w:rPr>
              <w:t>Dampak</w:t>
            </w:r>
          </w:p>
        </w:tc>
        <w:tc>
          <w:tcPr>
            <w:tcW w:type="dxa" w:w="3096"/>
            <w:shd w:fill="12355B"/>
            <w:vAlign w:val="center"/>
          </w:tcPr>
          <w:p>
            <w:r/>
            <w:r>
              <w:rPr>
                <w:b/>
                <w:color w:val="FFFFFF"/>
                <w:sz w:val="16"/>
              </w:rPr>
              <w:t>Pencegahan</w:t>
            </w:r>
          </w:p>
        </w:tc>
        <w:tc>
          <w:tcPr>
            <w:tcW w:type="dxa" w:w="3096"/>
            <w:shd w:fill="12355B"/>
            <w:vAlign w:val="center"/>
          </w:tcPr>
          <w:p>
            <w:r/>
            <w:r>
              <w:rPr>
                <w:b/>
                <w:color w:val="FFFFFF"/>
                <w:sz w:val="16"/>
              </w:rPr>
              <w:t>Tindakan Koreksi</w:t>
            </w:r>
          </w:p>
        </w:tc>
      </w:tr>
      <w:tr>
        <w:tc>
          <w:tcPr>
            <w:tcW w:type="dxa" w:w="2088"/>
            <w:vAlign w:val="center"/>
          </w:tcPr>
          <w:p>
            <w:r/>
            <w:r>
              <w:rPr>
                <w:b w:val="0"/>
                <w:color w:val="263238"/>
                <w:sz w:val="15"/>
              </w:rPr>
              <w:t>Dokumen tidak lengkap</w:t>
            </w:r>
          </w:p>
        </w:tc>
        <w:tc>
          <w:tcPr>
            <w:tcW w:type="dxa" w:w="2088"/>
            <w:vAlign w:val="center"/>
          </w:tcPr>
          <w:p>
            <w:r/>
            <w:r>
              <w:rPr>
                <w:b w:val="0"/>
                <w:color w:val="263238"/>
                <w:sz w:val="15"/>
              </w:rPr>
              <w:t>Clearance tertunda</w:t>
            </w:r>
          </w:p>
        </w:tc>
        <w:tc>
          <w:tcPr>
            <w:tcW w:type="dxa" w:w="3096"/>
            <w:vAlign w:val="center"/>
          </w:tcPr>
          <w:p>
            <w:r/>
            <w:r>
              <w:rPr>
                <w:b w:val="0"/>
                <w:color w:val="263238"/>
                <w:sz w:val="15"/>
              </w:rPr>
              <w:t>Pre-alert checklist</w:t>
            </w:r>
          </w:p>
        </w:tc>
        <w:tc>
          <w:tcPr>
            <w:tcW w:type="dxa" w:w="3096"/>
            <w:vAlign w:val="center"/>
          </w:tcPr>
          <w:p>
            <w:r/>
            <w:r>
              <w:rPr>
                <w:b w:val="0"/>
                <w:color w:val="263238"/>
                <w:sz w:val="15"/>
              </w:rPr>
              <w:t>Minta kelengkapan tertulis</w:t>
            </w:r>
          </w:p>
        </w:tc>
      </w:tr>
      <w:tr>
        <w:tc>
          <w:tcPr>
            <w:tcW w:type="dxa" w:w="2088"/>
            <w:shd w:fill="F3F5F7"/>
            <w:vAlign w:val="center"/>
          </w:tcPr>
          <w:p>
            <w:r/>
            <w:r>
              <w:rPr>
                <w:b w:val="0"/>
                <w:color w:val="263238"/>
                <w:sz w:val="15"/>
              </w:rPr>
              <w:t>Data berbeda</w:t>
            </w:r>
          </w:p>
        </w:tc>
        <w:tc>
          <w:tcPr>
            <w:tcW w:type="dxa" w:w="2088"/>
            <w:shd w:fill="F3F5F7"/>
            <w:vAlign w:val="center"/>
          </w:tcPr>
          <w:p>
            <w:r/>
            <w:r>
              <w:rPr>
                <w:b w:val="0"/>
                <w:color w:val="263238"/>
                <w:sz w:val="15"/>
              </w:rPr>
              <w:t>Pembetulan/pemeriksaan</w:t>
            </w:r>
          </w:p>
        </w:tc>
        <w:tc>
          <w:tcPr>
            <w:tcW w:type="dxa" w:w="3096"/>
            <w:shd w:fill="F3F5F7"/>
            <w:vAlign w:val="center"/>
          </w:tcPr>
          <w:p>
            <w:r/>
            <w:r>
              <w:rPr>
                <w:b w:val="0"/>
                <w:color w:val="263238"/>
                <w:sz w:val="15"/>
              </w:rPr>
              <w:t>Cross-check dokumen</w:t>
            </w:r>
          </w:p>
        </w:tc>
        <w:tc>
          <w:tcPr>
            <w:tcW w:type="dxa" w:w="3096"/>
            <w:shd w:fill="F3F5F7"/>
            <w:vAlign w:val="center"/>
          </w:tcPr>
          <w:p>
            <w:r/>
            <w:r>
              <w:rPr>
                <w:b w:val="0"/>
                <w:color w:val="263238"/>
                <w:sz w:val="15"/>
              </w:rPr>
              <w:t>Koreksi sebelum submit</w:t>
            </w:r>
          </w:p>
        </w:tc>
      </w:tr>
      <w:tr>
        <w:tc>
          <w:tcPr>
            <w:tcW w:type="dxa" w:w="2088"/>
            <w:vAlign w:val="center"/>
          </w:tcPr>
          <w:p>
            <w:r/>
            <w:r>
              <w:rPr>
                <w:b w:val="0"/>
                <w:color w:val="263238"/>
                <w:sz w:val="15"/>
              </w:rPr>
              <w:t>HS Code tidak tepat</w:t>
            </w:r>
          </w:p>
        </w:tc>
        <w:tc>
          <w:tcPr>
            <w:tcW w:type="dxa" w:w="2088"/>
            <w:vAlign w:val="center"/>
          </w:tcPr>
          <w:p>
            <w:r/>
            <w:r>
              <w:rPr>
                <w:b w:val="0"/>
                <w:color w:val="263238"/>
                <w:sz w:val="15"/>
              </w:rPr>
              <w:t>Kurang bayar/sengketa</w:t>
            </w:r>
          </w:p>
        </w:tc>
        <w:tc>
          <w:tcPr>
            <w:tcW w:type="dxa" w:w="3096"/>
            <w:vAlign w:val="center"/>
          </w:tcPr>
          <w:p>
            <w:r/>
            <w:r>
              <w:rPr>
                <w:b w:val="0"/>
                <w:color w:val="263238"/>
                <w:sz w:val="15"/>
              </w:rPr>
              <w:t>Technical datasheet dan review</w:t>
            </w:r>
          </w:p>
        </w:tc>
        <w:tc>
          <w:tcPr>
            <w:tcW w:type="dxa" w:w="3096"/>
            <w:vAlign w:val="center"/>
          </w:tcPr>
          <w:p>
            <w:r/>
            <w:r>
              <w:rPr>
                <w:b w:val="0"/>
                <w:color w:val="263238"/>
                <w:sz w:val="15"/>
              </w:rPr>
              <w:t>Konsultasi/pembetulan</w:t>
            </w:r>
          </w:p>
        </w:tc>
      </w:tr>
      <w:tr>
        <w:tc>
          <w:tcPr>
            <w:tcW w:type="dxa" w:w="2088"/>
            <w:shd w:fill="F3F5F7"/>
            <w:vAlign w:val="center"/>
          </w:tcPr>
          <w:p>
            <w:r/>
            <w:r>
              <w:rPr>
                <w:b w:val="0"/>
                <w:color w:val="263238"/>
                <w:sz w:val="15"/>
              </w:rPr>
              <w:t>Izin lartas tidak tersedia</w:t>
            </w:r>
          </w:p>
        </w:tc>
        <w:tc>
          <w:tcPr>
            <w:tcW w:type="dxa" w:w="2088"/>
            <w:shd w:fill="F3F5F7"/>
            <w:vAlign w:val="center"/>
          </w:tcPr>
          <w:p>
            <w:r/>
            <w:r>
              <w:rPr>
                <w:b w:val="0"/>
                <w:color w:val="263238"/>
                <w:sz w:val="15"/>
              </w:rPr>
              <w:t>Barang tertahan</w:t>
            </w:r>
          </w:p>
        </w:tc>
        <w:tc>
          <w:tcPr>
            <w:tcW w:type="dxa" w:w="3096"/>
            <w:shd w:fill="F3F5F7"/>
            <w:vAlign w:val="center"/>
          </w:tcPr>
          <w:p>
            <w:r/>
            <w:r>
              <w:rPr>
                <w:b w:val="0"/>
                <w:color w:val="263238"/>
                <w:sz w:val="15"/>
              </w:rPr>
              <w:t>Compliance check</w:t>
            </w:r>
          </w:p>
        </w:tc>
        <w:tc>
          <w:tcPr>
            <w:tcW w:type="dxa" w:w="3096"/>
            <w:shd w:fill="F3F5F7"/>
            <w:vAlign w:val="center"/>
          </w:tcPr>
          <w:p>
            <w:r/>
            <w:r>
              <w:rPr>
                <w:b w:val="0"/>
                <w:color w:val="263238"/>
                <w:sz w:val="15"/>
              </w:rPr>
              <w:t>Tunda proses dan urus izin</w:t>
            </w:r>
          </w:p>
        </w:tc>
      </w:tr>
      <w:tr>
        <w:tc>
          <w:tcPr>
            <w:tcW w:type="dxa" w:w="2088"/>
            <w:vAlign w:val="center"/>
          </w:tcPr>
          <w:p>
            <w:r/>
            <w:r>
              <w:rPr>
                <w:b w:val="0"/>
                <w:color w:val="263238"/>
                <w:sz w:val="15"/>
              </w:rPr>
              <w:t>Pre-alert terlambat</w:t>
            </w:r>
          </w:p>
        </w:tc>
        <w:tc>
          <w:tcPr>
            <w:tcW w:type="dxa" w:w="2088"/>
            <w:vAlign w:val="center"/>
          </w:tcPr>
          <w:p>
            <w:r/>
            <w:r>
              <w:rPr>
                <w:b w:val="0"/>
                <w:color w:val="263238"/>
                <w:sz w:val="15"/>
              </w:rPr>
              <w:t>Demurrage/storage</w:t>
            </w:r>
          </w:p>
        </w:tc>
        <w:tc>
          <w:tcPr>
            <w:tcW w:type="dxa" w:w="3096"/>
            <w:vAlign w:val="center"/>
          </w:tcPr>
          <w:p>
            <w:r/>
            <w:r>
              <w:rPr>
                <w:b w:val="0"/>
                <w:color w:val="263238"/>
                <w:sz w:val="15"/>
              </w:rPr>
              <w:t>Deadline dokumen</w:t>
            </w:r>
          </w:p>
        </w:tc>
        <w:tc>
          <w:tcPr>
            <w:tcW w:type="dxa" w:w="3096"/>
            <w:vAlign w:val="center"/>
          </w:tcPr>
          <w:p>
            <w:r/>
            <w:r>
              <w:rPr>
                <w:b w:val="0"/>
                <w:color w:val="263238"/>
                <w:sz w:val="15"/>
              </w:rPr>
              <w:t>Escalation ke origin</w:t>
            </w:r>
          </w:p>
        </w:tc>
      </w:tr>
      <w:tr>
        <w:tc>
          <w:tcPr>
            <w:tcW w:type="dxa" w:w="2088"/>
            <w:shd w:fill="F3F5F7"/>
            <w:vAlign w:val="center"/>
          </w:tcPr>
          <w:p>
            <w:r/>
            <w:r>
              <w:rPr>
                <w:b w:val="0"/>
                <w:color w:val="263238"/>
                <w:sz w:val="15"/>
              </w:rPr>
              <w:t>Lewat cut-off</w:t>
            </w:r>
          </w:p>
        </w:tc>
        <w:tc>
          <w:tcPr>
            <w:tcW w:type="dxa" w:w="2088"/>
            <w:shd w:fill="F3F5F7"/>
            <w:vAlign w:val="center"/>
          </w:tcPr>
          <w:p>
            <w:r/>
            <w:r>
              <w:rPr>
                <w:b w:val="0"/>
                <w:color w:val="263238"/>
                <w:sz w:val="15"/>
              </w:rPr>
              <w:t>Gagal berangkat</w:t>
            </w:r>
          </w:p>
        </w:tc>
        <w:tc>
          <w:tcPr>
            <w:tcW w:type="dxa" w:w="3096"/>
            <w:shd w:fill="F3F5F7"/>
            <w:vAlign w:val="center"/>
          </w:tcPr>
          <w:p>
            <w:r/>
            <w:r>
              <w:rPr>
                <w:b w:val="0"/>
                <w:color w:val="263238"/>
                <w:sz w:val="15"/>
              </w:rPr>
              <w:t>Cut-off tracker</w:t>
            </w:r>
          </w:p>
        </w:tc>
        <w:tc>
          <w:tcPr>
            <w:tcW w:type="dxa" w:w="3096"/>
            <w:shd w:fill="F3F5F7"/>
            <w:vAlign w:val="center"/>
          </w:tcPr>
          <w:p>
            <w:r/>
            <w:r>
              <w:rPr>
                <w:b w:val="0"/>
                <w:color w:val="263238"/>
                <w:sz w:val="15"/>
              </w:rPr>
              <w:t>Reschedule carrier</w:t>
            </w:r>
          </w:p>
        </w:tc>
      </w:tr>
      <w:tr>
        <w:tc>
          <w:tcPr>
            <w:tcW w:type="dxa" w:w="2088"/>
            <w:vAlign w:val="center"/>
          </w:tcPr>
          <w:p>
            <w:r/>
            <w:r>
              <w:rPr>
                <w:b w:val="0"/>
                <w:color w:val="263238"/>
                <w:sz w:val="15"/>
              </w:rPr>
              <w:t>Kendaraan tidak sesuai</w:t>
            </w:r>
          </w:p>
        </w:tc>
        <w:tc>
          <w:tcPr>
            <w:tcW w:type="dxa" w:w="2088"/>
            <w:vAlign w:val="center"/>
          </w:tcPr>
          <w:p>
            <w:r/>
            <w:r>
              <w:rPr>
                <w:b w:val="0"/>
                <w:color w:val="263238"/>
                <w:sz w:val="15"/>
              </w:rPr>
              <w:t>Kerusakan/keterlambatan</w:t>
            </w:r>
          </w:p>
        </w:tc>
        <w:tc>
          <w:tcPr>
            <w:tcW w:type="dxa" w:w="3096"/>
            <w:vAlign w:val="center"/>
          </w:tcPr>
          <w:p>
            <w:r/>
            <w:r>
              <w:rPr>
                <w:b w:val="0"/>
                <w:color w:val="263238"/>
                <w:sz w:val="15"/>
              </w:rPr>
              <w:t>Vehicle assessment</w:t>
            </w:r>
          </w:p>
        </w:tc>
        <w:tc>
          <w:tcPr>
            <w:tcW w:type="dxa" w:w="3096"/>
            <w:vAlign w:val="center"/>
          </w:tcPr>
          <w:p>
            <w:r/>
            <w:r>
              <w:rPr>
                <w:b w:val="0"/>
                <w:color w:val="263238"/>
                <w:sz w:val="15"/>
              </w:rPr>
              <w:t>Ganti armada</w:t>
            </w:r>
          </w:p>
        </w:tc>
      </w:tr>
      <w:tr>
        <w:tc>
          <w:tcPr>
            <w:tcW w:type="dxa" w:w="2088"/>
            <w:shd w:fill="F3F5F7"/>
            <w:vAlign w:val="center"/>
          </w:tcPr>
          <w:p>
            <w:r/>
            <w:r>
              <w:rPr>
                <w:b w:val="0"/>
                <w:color w:val="263238"/>
                <w:sz w:val="15"/>
              </w:rPr>
              <w:t>POD hilang</w:t>
            </w:r>
          </w:p>
        </w:tc>
        <w:tc>
          <w:tcPr>
            <w:tcW w:type="dxa" w:w="2088"/>
            <w:shd w:fill="F3F5F7"/>
            <w:vAlign w:val="center"/>
          </w:tcPr>
          <w:p>
            <w:r/>
            <w:r>
              <w:rPr>
                <w:b w:val="0"/>
                <w:color w:val="263238"/>
                <w:sz w:val="15"/>
              </w:rPr>
              <w:t>Penagihan tertunda</w:t>
            </w:r>
          </w:p>
        </w:tc>
        <w:tc>
          <w:tcPr>
            <w:tcW w:type="dxa" w:w="3096"/>
            <w:shd w:fill="F3F5F7"/>
            <w:vAlign w:val="center"/>
          </w:tcPr>
          <w:p>
            <w:r/>
            <w:r>
              <w:rPr>
                <w:b w:val="0"/>
                <w:color w:val="263238"/>
                <w:sz w:val="15"/>
              </w:rPr>
              <w:t>POD digital</w:t>
            </w:r>
          </w:p>
        </w:tc>
        <w:tc>
          <w:tcPr>
            <w:tcW w:type="dxa" w:w="3096"/>
            <w:shd w:fill="F3F5F7"/>
            <w:vAlign w:val="center"/>
          </w:tcPr>
          <w:p>
            <w:r/>
            <w:r>
              <w:rPr>
                <w:b w:val="0"/>
                <w:color w:val="263238"/>
                <w:sz w:val="15"/>
              </w:rPr>
              <w:t>Konfirmasi penerima</w:t>
            </w:r>
          </w:p>
        </w:tc>
      </w:tr>
      <w:tr>
        <w:tc>
          <w:tcPr>
            <w:tcW w:type="dxa" w:w="2088"/>
            <w:vAlign w:val="center"/>
          </w:tcPr>
          <w:p>
            <w:r/>
            <w:r>
              <w:rPr>
                <w:b w:val="0"/>
                <w:color w:val="263238"/>
                <w:sz w:val="15"/>
              </w:rPr>
              <w:t>Biaya vendor berbeda</w:t>
            </w:r>
          </w:p>
        </w:tc>
        <w:tc>
          <w:tcPr>
            <w:tcW w:type="dxa" w:w="2088"/>
            <w:vAlign w:val="center"/>
          </w:tcPr>
          <w:p>
            <w:r/>
            <w:r>
              <w:rPr>
                <w:b w:val="0"/>
                <w:color w:val="263238"/>
                <w:sz w:val="15"/>
              </w:rPr>
              <w:t>Margin turun</w:t>
            </w:r>
          </w:p>
        </w:tc>
        <w:tc>
          <w:tcPr>
            <w:tcW w:type="dxa" w:w="3096"/>
            <w:vAlign w:val="center"/>
          </w:tcPr>
          <w:p>
            <w:r/>
            <w:r>
              <w:rPr>
                <w:b w:val="0"/>
                <w:color w:val="263238"/>
                <w:sz w:val="15"/>
              </w:rPr>
              <w:t>Rate confirmation</w:t>
            </w:r>
          </w:p>
        </w:tc>
        <w:tc>
          <w:tcPr>
            <w:tcW w:type="dxa" w:w="3096"/>
            <w:vAlign w:val="center"/>
          </w:tcPr>
          <w:p>
            <w:r/>
            <w:r>
              <w:rPr>
                <w:b w:val="0"/>
                <w:color w:val="263238"/>
                <w:sz w:val="15"/>
              </w:rPr>
              <w:t>Rekonsiliasi/dispute</w:t>
            </w:r>
          </w:p>
        </w:tc>
      </w:tr>
      <w:tr>
        <w:tc>
          <w:tcPr>
            <w:tcW w:type="dxa" w:w="2088"/>
            <w:shd w:fill="F3F5F7"/>
            <w:vAlign w:val="center"/>
          </w:tcPr>
          <w:p>
            <w:r/>
            <w:r>
              <w:rPr>
                <w:b w:val="0"/>
                <w:color w:val="263238"/>
                <w:sz w:val="15"/>
              </w:rPr>
              <w:t>Shipment tidak termonitor</w:t>
            </w:r>
          </w:p>
        </w:tc>
        <w:tc>
          <w:tcPr>
            <w:tcW w:type="dxa" w:w="2088"/>
            <w:shd w:fill="F3F5F7"/>
            <w:vAlign w:val="center"/>
          </w:tcPr>
          <w:p>
            <w:r/>
            <w:r>
              <w:rPr>
                <w:b w:val="0"/>
                <w:color w:val="263238"/>
                <w:sz w:val="15"/>
              </w:rPr>
              <w:t>Keluhan pelanggan</w:t>
            </w:r>
          </w:p>
        </w:tc>
        <w:tc>
          <w:tcPr>
            <w:tcW w:type="dxa" w:w="3096"/>
            <w:shd w:fill="F3F5F7"/>
            <w:vAlign w:val="center"/>
          </w:tcPr>
          <w:p>
            <w:r/>
            <w:r>
              <w:rPr>
                <w:b w:val="0"/>
                <w:color w:val="263238"/>
                <w:sz w:val="15"/>
              </w:rPr>
              <w:t>Milestone tracker</w:t>
            </w:r>
          </w:p>
        </w:tc>
        <w:tc>
          <w:tcPr>
            <w:tcW w:type="dxa" w:w="3096"/>
            <w:shd w:fill="F3F5F7"/>
            <w:vAlign w:val="center"/>
          </w:tcPr>
          <w:p>
            <w:r/>
            <w:r>
              <w:rPr>
                <w:b w:val="0"/>
                <w:color w:val="263238"/>
                <w:sz w:val="15"/>
              </w:rPr>
              <w:t>Escalation PIC</w:t>
            </w:r>
          </w:p>
        </w:tc>
      </w:tr>
    </w:tbl>
    <w:p/>
    <w:p>
      <w:pPr>
        <w:pStyle w:val="Heading1"/>
      </w:pPr>
      <w:r>
        <w:t>10. Standar Status Shipment</w:t>
      </w:r>
    </w:p>
    <w:tbl>
      <w:tblPr>
        <w:tblStyle w:val="TableGrid"/>
        <w:tblW w:type="auto" w:w="0"/>
        <w:jc w:val="center"/>
        <w:tblLook w:firstColumn="1" w:firstRow="1" w:lastColumn="0" w:lastRow="0" w:noHBand="0" w:noVBand="1" w:val="04A0"/>
      </w:tblPr>
      <w:tblGrid>
        <w:gridCol w:w="5112"/>
        <w:gridCol w:w="5112"/>
      </w:tblGrid>
      <w:tr>
        <w:tc>
          <w:tcPr>
            <w:tcW w:type="dxa" w:w="2880"/>
            <w:shd w:fill="12355B"/>
            <w:vAlign w:val="center"/>
          </w:tcPr>
          <w:p>
            <w:r/>
            <w:r>
              <w:rPr>
                <w:b/>
                <w:color w:val="FFFFFF"/>
                <w:sz w:val="16"/>
              </w:rPr>
              <w:t>Milestone</w:t>
            </w:r>
          </w:p>
        </w:tc>
        <w:tc>
          <w:tcPr>
            <w:tcW w:type="dxa" w:w="7488"/>
            <w:shd w:fill="12355B"/>
            <w:vAlign w:val="center"/>
          </w:tcPr>
          <w:p>
            <w:r/>
            <w:r>
              <w:rPr>
                <w:b/>
                <w:color w:val="FFFFFF"/>
                <w:sz w:val="16"/>
              </w:rPr>
              <w:t>Status Minimum</w:t>
            </w:r>
          </w:p>
        </w:tc>
      </w:tr>
      <w:tr>
        <w:tc>
          <w:tcPr>
            <w:tcW w:type="dxa" w:w="2880"/>
            <w:vAlign w:val="center"/>
          </w:tcPr>
          <w:p>
            <w:r/>
            <w:r>
              <w:rPr>
                <w:b w:val="0"/>
                <w:color w:val="263238"/>
                <w:sz w:val="15"/>
              </w:rPr>
              <w:t>Booking</w:t>
            </w:r>
          </w:p>
        </w:tc>
        <w:tc>
          <w:tcPr>
            <w:tcW w:type="dxa" w:w="7488"/>
            <w:vAlign w:val="center"/>
          </w:tcPr>
          <w:p>
            <w:r/>
            <w:r>
              <w:rPr>
                <w:b w:val="0"/>
                <w:color w:val="263238"/>
                <w:sz w:val="15"/>
              </w:rPr>
              <w:t>Carrier, jadwal, nomor booking</w:t>
            </w:r>
          </w:p>
        </w:tc>
      </w:tr>
      <w:tr>
        <w:tc>
          <w:tcPr>
            <w:tcW w:type="dxa" w:w="2880"/>
            <w:shd w:fill="F3F5F7"/>
            <w:vAlign w:val="center"/>
          </w:tcPr>
          <w:p>
            <w:r/>
            <w:r>
              <w:rPr>
                <w:b w:val="0"/>
                <w:color w:val="263238"/>
                <w:sz w:val="15"/>
              </w:rPr>
              <w:t>Pickup</w:t>
            </w:r>
          </w:p>
        </w:tc>
        <w:tc>
          <w:tcPr>
            <w:tcW w:type="dxa" w:w="7488"/>
            <w:shd w:fill="F3F5F7"/>
            <w:vAlign w:val="center"/>
          </w:tcPr>
          <w:p>
            <w:r/>
            <w:r>
              <w:rPr>
                <w:b w:val="0"/>
                <w:color w:val="263238"/>
                <w:sz w:val="15"/>
              </w:rPr>
              <w:t>Tanggal, kendaraan, dan pengemudi</w:t>
            </w:r>
          </w:p>
        </w:tc>
      </w:tr>
      <w:tr>
        <w:tc>
          <w:tcPr>
            <w:tcW w:type="dxa" w:w="2880"/>
            <w:vAlign w:val="center"/>
          </w:tcPr>
          <w:p>
            <w:r/>
            <w:r>
              <w:rPr>
                <w:b w:val="0"/>
                <w:color w:val="263238"/>
                <w:sz w:val="15"/>
              </w:rPr>
              <w:t>Departed</w:t>
            </w:r>
          </w:p>
        </w:tc>
        <w:tc>
          <w:tcPr>
            <w:tcW w:type="dxa" w:w="7488"/>
            <w:vAlign w:val="center"/>
          </w:tcPr>
          <w:p>
            <w:r/>
            <w:r>
              <w:rPr>
                <w:b w:val="0"/>
                <w:color w:val="263238"/>
                <w:sz w:val="15"/>
              </w:rPr>
              <w:t>ATD dan dokumen angkut</w:t>
            </w:r>
          </w:p>
        </w:tc>
      </w:tr>
      <w:tr>
        <w:tc>
          <w:tcPr>
            <w:tcW w:type="dxa" w:w="2880"/>
            <w:shd w:fill="F3F5F7"/>
            <w:vAlign w:val="center"/>
          </w:tcPr>
          <w:p>
            <w:r/>
            <w:r>
              <w:rPr>
                <w:b w:val="0"/>
                <w:color w:val="263238"/>
                <w:sz w:val="15"/>
              </w:rPr>
              <w:t>In transit</w:t>
            </w:r>
          </w:p>
        </w:tc>
        <w:tc>
          <w:tcPr>
            <w:tcW w:type="dxa" w:w="7488"/>
            <w:shd w:fill="F3F5F7"/>
            <w:vAlign w:val="center"/>
          </w:tcPr>
          <w:p>
            <w:r/>
            <w:r>
              <w:rPr>
                <w:b w:val="0"/>
                <w:color w:val="263238"/>
                <w:sz w:val="15"/>
              </w:rPr>
              <w:t>Posisi dan transshipment</w:t>
            </w:r>
          </w:p>
        </w:tc>
      </w:tr>
      <w:tr>
        <w:tc>
          <w:tcPr>
            <w:tcW w:type="dxa" w:w="2880"/>
            <w:vAlign w:val="center"/>
          </w:tcPr>
          <w:p>
            <w:r/>
            <w:r>
              <w:rPr>
                <w:b w:val="0"/>
                <w:color w:val="263238"/>
                <w:sz w:val="15"/>
              </w:rPr>
              <w:t>Arrived</w:t>
            </w:r>
          </w:p>
        </w:tc>
        <w:tc>
          <w:tcPr>
            <w:tcW w:type="dxa" w:w="7488"/>
            <w:vAlign w:val="center"/>
          </w:tcPr>
          <w:p>
            <w:r/>
            <w:r>
              <w:rPr>
                <w:b w:val="0"/>
                <w:color w:val="263238"/>
                <w:sz w:val="15"/>
              </w:rPr>
              <w:t>ATA dan status manifest</w:t>
            </w:r>
          </w:p>
        </w:tc>
      </w:tr>
      <w:tr>
        <w:tc>
          <w:tcPr>
            <w:tcW w:type="dxa" w:w="2880"/>
            <w:shd w:fill="F3F5F7"/>
            <w:vAlign w:val="center"/>
          </w:tcPr>
          <w:p>
            <w:r/>
            <w:r>
              <w:rPr>
                <w:b w:val="0"/>
                <w:color w:val="263238"/>
                <w:sz w:val="15"/>
              </w:rPr>
              <w:t>Customs</w:t>
            </w:r>
          </w:p>
        </w:tc>
        <w:tc>
          <w:tcPr>
            <w:tcW w:type="dxa" w:w="7488"/>
            <w:shd w:fill="F3F5F7"/>
            <w:vAlign w:val="center"/>
          </w:tcPr>
          <w:p>
            <w:r/>
            <w:r>
              <w:rPr>
                <w:b w:val="0"/>
                <w:color w:val="263238"/>
                <w:sz w:val="15"/>
              </w:rPr>
              <w:t>Draft, submit, billing, jalur, pemeriksaan</w:t>
            </w:r>
          </w:p>
        </w:tc>
      </w:tr>
      <w:tr>
        <w:tc>
          <w:tcPr>
            <w:tcW w:type="dxa" w:w="2880"/>
            <w:vAlign w:val="center"/>
          </w:tcPr>
          <w:p>
            <w:r/>
            <w:r>
              <w:rPr>
                <w:b w:val="0"/>
                <w:color w:val="263238"/>
                <w:sz w:val="15"/>
              </w:rPr>
              <w:t>Released</w:t>
            </w:r>
          </w:p>
        </w:tc>
        <w:tc>
          <w:tcPr>
            <w:tcW w:type="dxa" w:w="7488"/>
            <w:vAlign w:val="center"/>
          </w:tcPr>
          <w:p>
            <w:r/>
            <w:r>
              <w:rPr>
                <w:b w:val="0"/>
                <w:color w:val="263238"/>
                <w:sz w:val="15"/>
              </w:rPr>
              <w:t>Nomor dan tanggal SPPB/release</w:t>
            </w:r>
          </w:p>
        </w:tc>
      </w:tr>
      <w:tr>
        <w:tc>
          <w:tcPr>
            <w:tcW w:type="dxa" w:w="2880"/>
            <w:shd w:fill="F3F5F7"/>
            <w:vAlign w:val="center"/>
          </w:tcPr>
          <w:p>
            <w:r/>
            <w:r>
              <w:rPr>
                <w:b w:val="0"/>
                <w:color w:val="263238"/>
                <w:sz w:val="15"/>
              </w:rPr>
              <w:t>Delivery</w:t>
            </w:r>
          </w:p>
        </w:tc>
        <w:tc>
          <w:tcPr>
            <w:tcW w:type="dxa" w:w="7488"/>
            <w:shd w:fill="F3F5F7"/>
            <w:vAlign w:val="center"/>
          </w:tcPr>
          <w:p>
            <w:r/>
            <w:r>
              <w:rPr>
                <w:b w:val="0"/>
                <w:color w:val="263238"/>
                <w:sz w:val="15"/>
              </w:rPr>
              <w:t>Kendaraan dan estimasi tiba</w:t>
            </w:r>
          </w:p>
        </w:tc>
      </w:tr>
      <w:tr>
        <w:tc>
          <w:tcPr>
            <w:tcW w:type="dxa" w:w="2880"/>
            <w:vAlign w:val="center"/>
          </w:tcPr>
          <w:p>
            <w:r/>
            <w:r>
              <w:rPr>
                <w:b w:val="0"/>
                <w:color w:val="263238"/>
                <w:sz w:val="15"/>
              </w:rPr>
              <w:t>Delivered</w:t>
            </w:r>
          </w:p>
        </w:tc>
        <w:tc>
          <w:tcPr>
            <w:tcW w:type="dxa" w:w="7488"/>
            <w:vAlign w:val="center"/>
          </w:tcPr>
          <w:p>
            <w:r/>
            <w:r>
              <w:rPr>
                <w:b w:val="0"/>
                <w:color w:val="263238"/>
                <w:sz w:val="15"/>
              </w:rPr>
              <w:t>Waktu penerimaan dan POD</w:t>
            </w:r>
          </w:p>
        </w:tc>
      </w:tr>
      <w:tr>
        <w:tc>
          <w:tcPr>
            <w:tcW w:type="dxa" w:w="2880"/>
            <w:shd w:fill="F3F5F7"/>
            <w:vAlign w:val="center"/>
          </w:tcPr>
          <w:p>
            <w:r/>
            <w:r>
              <w:rPr>
                <w:b w:val="0"/>
                <w:color w:val="263238"/>
                <w:sz w:val="15"/>
              </w:rPr>
              <w:t>Closed</w:t>
            </w:r>
          </w:p>
        </w:tc>
        <w:tc>
          <w:tcPr>
            <w:tcW w:type="dxa" w:w="7488"/>
            <w:shd w:fill="F3F5F7"/>
            <w:vAlign w:val="center"/>
          </w:tcPr>
          <w:p>
            <w:r/>
            <w:r>
              <w:rPr>
                <w:b w:val="0"/>
                <w:color w:val="263238"/>
                <w:sz w:val="15"/>
              </w:rPr>
              <w:t>Dokumen dan billing selesai</w:t>
            </w:r>
          </w:p>
        </w:tc>
      </w:tr>
    </w:tbl>
    <w:p/>
    <w:p>
      <w:pPr>
        <w:pStyle w:val="Heading1"/>
      </w:pPr>
      <w:r>
        <w:t>11. Catatan Kepatuhan</w:t>
      </w:r>
    </w:p>
    <w:p>
      <w:r>
        <w:t>Istilah “borongan impor” dalam dokumen resmi sebaiknya menggunakan “layanan impor terintegrasi”. Importir/eksportir, data transaksi, nilai pabean, jumlah, jenis, HS Code, dan perizinan harus benar serta dapat dipertanggungjawabkan. Layanan tidak boleh digunakan untuk peminjaman identitas/perizinan, under-invoicing, atau penghindaran kewajiban pabean.</w:t>
      </w:r>
    </w:p>
    <w:p>
      <w:r>
        <w:t>Flowchart ini merupakan kerangka kerja umum. Tahapan aktual wajib mengikuti respons resmi sistem, ketentuan kantor pabean, karakteristik barang, moda, fasilitas terminal, dan peraturan yang berlaku pada saat shipment diproses.</w:t>
      </w:r>
    </w:p>
    <w:p>
      <w:pPr>
        <w:pStyle w:val="Heading2"/>
      </w:pPr>
      <w:r>
        <w:t>Referensi Resmi</w:t>
      </w:r>
    </w:p>
    <w:p>
      <w:pPr>
        <w:pStyle w:val="ListBullet"/>
      </w:pPr>
      <w:r>
        <w:t>JDIH Kementerian Keuangan – definisi Pengusaha Pengurusan Jasa Kepabeanan (PPJK).</w:t>
      </w:r>
    </w:p>
    <w:p>
      <w:pPr>
        <w:pStyle w:val="ListBullet"/>
      </w:pPr>
      <w:r>
        <w:t>Direktorat Jenderal Bea dan Cukai – prosedur impor untuk dipakai dan penjaluran.</w:t>
      </w:r>
    </w:p>
    <w:p>
      <w:pPr>
        <w:pStyle w:val="ListBullet"/>
      </w:pPr>
      <w:r>
        <w:t>Indonesia National Single Window – referensi ketentuan larangan dan pembatasan.</w:t>
      </w:r>
    </w:p>
    <w:sectPr w:rsidR="00FC693F" w:rsidRPr="0006063C" w:rsidSect="00034616">
      <w:headerReference w:type="default" r:id="rId13"/>
      <w:footerReference w:type="default" r:id="rId1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4"/>
      </w:rPr>
      <w:t>Dokumen Flowchart Operasional • Juli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2C7FB8"/>
        <w:sz w:val="14"/>
      </w:rPr>
      <w:t>PT DAFF CARGO NUSANTARA  |  CUSTOMS BROKER &amp; FREIGHT FORWARDING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55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C7FB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5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 Daff Cargo Nusantara - Flowchart Operasional</dc:title>
  <dc:subject>Customs Broker dan Freight Forwarding</dc:subject>
  <dc:creator>PT Daff Cargo Nusantara</dc:creator>
  <cp:keywords/>
  <dc:description>generated by python-docx</dc:description>
  <cp:lastModifiedBy/>
  <cp:revision>1</cp:revision>
  <dcterms:created xsi:type="dcterms:W3CDTF">2013-12-23T23:15:00Z</dcterms:created>
  <dcterms:modified xsi:type="dcterms:W3CDTF">2013-12-23T23:15:00Z</dcterms:modified>
  <cp:category/>
</cp:coreProperties>
</file>