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2E7D32"/>
          <w:sz w:val="56"/>
          <w:szCs w:val="56"/>
        </w:rPr>
        <w:t xml:space="preserve">FOODLOOP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Guide d'intégration design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Livrable L7 — Design system, écrans à maquetter et règles d'intégration — Workshop BC04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Guide de design system et spécification des maquettes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Projet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FoodLoop — Marketplace de circuits courts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Usage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pour la création des maquettes Figma + référence d'intégration pour les développeurs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 — 17 juin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Objectif de ce document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Ce guide fixe l'identité visuelle de FoodLoop et décrit, écran par écran, ce que doivent contenir les maquettes Figma. Il sert de base directe à la création des maquettes haute-fidélité dans Figma, puis de référence pour vérifier que l'intégration (le code) reste fidèle aux maquettes — critère noté à 10% dans la grille d'évaluation du jury.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Les maquettes Figma elles-mêmes doivent être construites dans l'outil Figma à partir des éléments définis ici (palette, typographie, composants, écrans). Une fois créées, le lien de partage Figma est à joindre au rendu final avec ce document.</w:t>
      </w:r>
    </w:p>
    <w:p>
      <w:pPr>
        <w:pStyle w:val="Heading1"/>
      </w:pPr>
      <w:r>
        <w:t xml:space="preserve">2. Identité visuelle</w:t>
      </w:r>
    </w:p>
    <w:p>
      <w:pPr>
        <w:pStyle w:val="Heading2"/>
      </w:pPr>
      <w:r>
        <w:t xml:space="preserve">2.1 Palette de couleurs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Une identité « terroir / nature » pour incarner les circuits courts : vert dominant (fraîcheur, local), orange en accent (chaleur, énergie), neutres pour la lisibilité.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80"/>
        <w:gridCol w:w="4780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2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4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#2E7D32</w:t>
            </w:r>
          </w:p>
        </w:tc>
        <w:tc>
          <w:tcPr>
            <w:tcW w:type="dxa" w:w="2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Vert FoodLoop (primaire)</w:t>
            </w:r>
          </w:p>
        </w:tc>
        <w:tc>
          <w:tcPr>
            <w:tcW w:type="dxa" w:w="4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Boutons principaux, liens, éléments de marque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74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#E8743B</w:t>
            </w:r>
          </w:p>
        </w:tc>
        <w:tc>
          <w:tcPr>
            <w:tcW w:type="dxa" w:w="2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terracotta (accent)</w:t>
            </w:r>
          </w:p>
        </w:tc>
        <w:tc>
          <w:tcPr>
            <w:tcW w:type="dxa" w:w="4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Call-to-action secondaires, badges, promotions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#1A1A1A</w:t>
            </w:r>
          </w:p>
        </w:tc>
        <w:tc>
          <w:tcPr>
            <w:tcW w:type="dxa" w:w="2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Noir texte</w:t>
            </w:r>
          </w:p>
        </w:tc>
        <w:tc>
          <w:tcPr>
            <w:tcW w:type="dxa" w:w="4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Texte principal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#595959</w:t>
            </w:r>
          </w:p>
        </w:tc>
        <w:tc>
          <w:tcPr>
            <w:tcW w:type="dxa" w:w="2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Gris texte secondaire</w:t>
            </w:r>
          </w:p>
        </w:tc>
        <w:tc>
          <w:tcPr>
            <w:tcW w:type="dxa" w:w="4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Sous-titres, légendes, métadonnées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#EAF5EA</w:t>
            </w:r>
          </w:p>
        </w:tc>
        <w:tc>
          <w:tcPr>
            <w:tcW w:type="dxa" w:w="2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Vert pâle (fond)</w:t>
            </w:r>
          </w:p>
        </w:tc>
        <w:tc>
          <w:tcPr>
            <w:tcW w:type="dxa" w:w="4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Fonds de cartes, sections mises en avant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#FFFFFF</w:t>
            </w:r>
          </w:p>
        </w:tc>
        <w:tc>
          <w:tcPr>
            <w:tcW w:type="dxa" w:w="2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Blanc</w:t>
            </w:r>
          </w:p>
        </w:tc>
        <w:tc>
          <w:tcPr>
            <w:tcW w:type="dxa" w:w="4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Fond général de l'application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#D32F2F</w:t>
            </w:r>
          </w:p>
        </w:tc>
        <w:tc>
          <w:tcPr>
            <w:tcW w:type="dxa" w:w="2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Rouge alerte</w:t>
            </w:r>
          </w:p>
        </w:tc>
        <w:tc>
          <w:tcPr>
            <w:tcW w:type="dxa" w:w="4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Erreurs, rupture de stock, alertes</w:t>
            </w:r>
          </w:p>
        </w:tc>
      </w:tr>
    </w:tbl>
    <w:p>
      <w:pPr>
        <w:pStyle w:val="Heading2"/>
      </w:pPr>
      <w:r>
        <w:t xml:space="preserve">2.2 Typographie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Police recommandée : Inter ou Poppins (lisible, moderne, gratuite sur Google Fonts)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Titres (H1) : 28-32px, bold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Sous-titres (H2) : 20-22px, semi-bold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Corps de texte : 16px, regular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Légendes / métadonnées : 13-14px, regular, gris secondaire</w:t>
      </w:r>
    </w:p>
    <w:p>
      <w:pPr>
        <w:pStyle w:val="Heading2"/>
      </w:pPr>
      <w:r>
        <w:t xml:space="preserve">2.3 Composants UI à créer dans Figma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74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74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74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Bouton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Primaire, secondaire, désactivé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Coins arrondis 8px, padding confortable pour le tactile (min 44px de hauteur)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Carte produit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Standard, rupture de stock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 carrée, nom, prix, badge label (bio/AOP), bouton ajout rapide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Carte producteur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Standard, en attente de validation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Photo, nom, distance, note moyenne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Barre de navigation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(bottom nav), Desktop (top nav)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Accueil, Recherche, Panier, Commandes, Profil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 / étiquette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 alimentaire, statut de commande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Couleur selon statut : vert (prête), orange (en préparation), gris (retirée)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Champ de formulaire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Texte, mot de passe, recherche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Bordure grise, focus en vert primaire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Carte statistique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producteur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Chiffre clé + variation + icône</w:t>
            </w:r>
          </w:p>
        </w:tc>
      </w:tr>
    </w:tbl>
    <w:p>
      <w:pPr>
        <w:pStyle w:val="Heading1"/>
      </w:pPr>
      <w:r>
        <w:t xml:space="preserve">3. Écrans à maquetter par face</w:t>
      </w:r>
    </w:p>
    <w:p>
      <w:pPr>
        <w:pStyle w:val="Heading2"/>
      </w:pPr>
      <w:r>
        <w:t xml:space="preserve">3.1 Face Consommateur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Accueil / Recherche — barre de recherche, filtres (rayon, catégorie, label), liste de cartes producteurs/produits, carte interactive en option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Fiche produit — photo, description, prix, producteur associé, sélecteur de quantité, bouton ajouter au panier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Panier — liste des produits groupés par producteur, sous-totaux, sélection du hub de retrait, bouton vers le paiement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Paiement — récapitulatif de commande, formulaire Stripe, montant total avec commission visible ou non selon le choix produit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Suivi de commande — timeline de statuts (confirmée / en préparation / prête / retirée), QR code de retrait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Historique et abonnement — liste des commandes passées, gestion de l'abonnement panier hebdomadaire</w:t>
      </w:r>
    </w:p>
    <w:p>
      <w:pPr>
        <w:pStyle w:val="Heading2"/>
      </w:pPr>
      <w:r>
        <w:t xml:space="preserve">3.2 Face Producteur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Tableau de bord — commandes du jour, CA du jour, alertes stock bas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Gestion catalogue — liste des produits avec stock, bouton ajout/édition de produit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Détail commande — produits commandés, statut à mettre à jour, bouton « marquer prête »</w:t>
      </w:r>
    </w:p>
    <w:p>
      <w:pPr>
        <w:pStyle w:val="Heading2"/>
      </w:pPr>
      <w:r>
        <w:t xml:space="preserve">3.3 Face Admin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Validation producteurs — liste des demandes en attente, documents KYC, boutons valider/refuser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Supervision commandes et litiges — vue globale des commandes, filtre par statut, gestion des litiges signalés</w:t>
      </w:r>
    </w:p>
    <w:p>
      <w:pPr>
        <w:pStyle w:val="Heading1"/>
      </w:pPr>
      <w:r>
        <w:t xml:space="preserve">4. Parcours utilisateur clé (à représenter dans Figma en flow)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Inscription → Recherche de produits par géolocalisation → Ajout au panier → Sélection du hub de retrait → Paiement Stripe → Confirmation avec QR code → Suivi en temps réel → Retrait avec scan du QR code.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Ce parcours doit pouvoir être démontré de bout en bout dans les maquettes Figma (mode présentation/flow) puis retrouvé identique dans l'application déployée.</w:t>
      </w:r>
    </w:p>
    <w:p>
      <w:pPr>
        <w:pStyle w:val="Heading1"/>
      </w:pPr>
      <w:r>
        <w:t xml:space="preserve">5. Règles d'intégration (Figma → code)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Respecter les espacements définis dans Figma en utilisant une grille de 8px (8, 16, 24, 32px) pour garder une cohérence visuelle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Utiliser les couleurs de la palette ci-dessus comme variables CSS/Tailwind plutôt que des valeurs codées en dur, pour faciliter les ajustements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Mobile-first obligatoire : concevoir d'abord la version mobile dans Figma (78% du trafic), puis adapter pour desktop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Vérifier les contrastes de couleur (texte sur fond) pour rester accessible (ratio WCAG AA minimum)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Chaque écran implémenté doit être comparé visuellement à sa maquette avant d'être considéré comme terminé</w:t>
      </w:r>
    </w:p>
    <w:p>
      <w:pPr>
        <w:pStyle w:val="Heading1"/>
      </w:pPr>
      <w:r>
        <w:t xml:space="preserve">6. Accessibilité et responsive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Taille de police minimale de 16px pour le corps de texte sur mobile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Zones cliquables d'au moins 44x44px (boutons, icônes de navigation)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Breakpoints recommandés : mobile &lt; 768px, tablette 768-1024px, desktop &gt; 1024px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Prévoir un état de chargement (skeleton ou spinner) pour les listes de produits et le tableau de bord</w:t>
      </w:r>
    </w:p>
    <w:p>
      <w:pPr>
        <w:pStyle w:val="Heading1"/>
      </w:pPr>
      <w:r>
        <w:t xml:space="preserve">7. Prochaine étape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Avec ce guide, la création des maquettes dans Figma peut être réalisée directement : palette et composants sont prêts à être posés sur une page Figma, puis dupliqués pour chaque écran listé en section 3. Une fois les maquettes terminées, partage le lien Figma (accès « anyone with the link can view ») à l'équipe pour qu'il soit intégré au rendu final L7 avec ce document.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FoodLoop — Guide d'intégration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D32" w:sz="6" w:space="4"/>
      </w:pBdr>
      <w:spacing w:after="200" w:before="36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2026-06-17T17:52:57.692Z</dcterms:created>
  <dcterms:modified xsi:type="dcterms:W3CDTF">2026-06-17T17:52:57.692Z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