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7761" w:rsidP="00087761">
      <w:pPr>
        <w:jc w:val="both"/>
      </w:pPr>
      <w:r>
        <w:t xml:space="preserve">Objectifs : que les fichiers </w:t>
      </w:r>
      <w:proofErr w:type="spellStart"/>
      <w:r>
        <w:t>dbf</w:t>
      </w:r>
      <w:proofErr w:type="spellEnd"/>
      <w:r>
        <w:t xml:space="preserve">, ouvrables dans </w:t>
      </w:r>
      <w:proofErr w:type="spellStart"/>
      <w:r>
        <w:t>excel</w:t>
      </w:r>
      <w:proofErr w:type="spellEnd"/>
      <w:r>
        <w:t xml:space="preserve">, exportés depuis mes tables SIG de </w:t>
      </w:r>
      <w:proofErr w:type="spellStart"/>
      <w:r>
        <w:t>mapinfo</w:t>
      </w:r>
      <w:proofErr w:type="spellEnd"/>
      <w:r>
        <w:t xml:space="preserve"> soient directement imbriquées dans des tableaux de dimensionnement.</w:t>
      </w:r>
    </w:p>
    <w:p w:rsidR="00087761" w:rsidRPr="00087761" w:rsidRDefault="00087761" w:rsidP="00087761">
      <w:pPr>
        <w:jc w:val="both"/>
        <w:rPr>
          <w:b/>
          <w:u w:val="single"/>
        </w:rPr>
      </w:pPr>
      <w:r w:rsidRPr="00087761">
        <w:rPr>
          <w:b/>
          <w:u w:val="single"/>
        </w:rPr>
        <w:t>Dimensionnement BV</w:t>
      </w:r>
    </w:p>
    <w:p w:rsidR="00087761" w:rsidRDefault="00087761" w:rsidP="00087761">
      <w:pPr>
        <w:jc w:val="both"/>
      </w:pPr>
      <w:r>
        <w:t xml:space="preserve">Le </w:t>
      </w:r>
      <w:proofErr w:type="spellStart"/>
      <w:r>
        <w:t>dbf</w:t>
      </w:r>
      <w:proofErr w:type="spellEnd"/>
      <w:r>
        <w:t xml:space="preserve"> « BV » sert au remplissage de la feuille « dimensionnement BV ».</w:t>
      </w:r>
    </w:p>
    <w:p w:rsidR="00087761" w:rsidRDefault="00087761" w:rsidP="00087761">
      <w:pPr>
        <w:jc w:val="both"/>
      </w:pPr>
      <w:r>
        <w:t xml:space="preserve">Données d’entrées récupérables dans le </w:t>
      </w:r>
      <w:proofErr w:type="spellStart"/>
      <w:r>
        <w:t>dbf</w:t>
      </w:r>
      <w:proofErr w:type="spellEnd"/>
      <w:r>
        <w:t> : nom, surface, longueur hydro, dénivelé.</w:t>
      </w:r>
    </w:p>
    <w:p w:rsidR="00087761" w:rsidRDefault="00087761" w:rsidP="00087761">
      <w:pPr>
        <w:jc w:val="both"/>
      </w:pPr>
      <w:r>
        <w:t xml:space="preserve">A noter que la surface dans le </w:t>
      </w:r>
      <w:proofErr w:type="spellStart"/>
      <w:r>
        <w:t>dbf</w:t>
      </w:r>
      <w:proofErr w:type="spellEnd"/>
      <w:r>
        <w:t xml:space="preserve"> est en m² tandis qu’elle est exprimée en ha dans l’</w:t>
      </w:r>
      <w:proofErr w:type="spellStart"/>
      <w:r>
        <w:t>excel</w:t>
      </w:r>
      <w:proofErr w:type="spellEnd"/>
      <w:r>
        <w:t>.</w:t>
      </w:r>
    </w:p>
    <w:p w:rsidR="00087761" w:rsidRDefault="00087761" w:rsidP="00087761">
      <w:pPr>
        <w:jc w:val="both"/>
      </w:pPr>
      <w:r>
        <w:t>Par défaut, le coefficient de ruissellement appliqué est de 0.9. Il dit pouvoir être modifié ponctuellement si besoin</w:t>
      </w:r>
    </w:p>
    <w:p w:rsidR="00087761" w:rsidRDefault="00087761" w:rsidP="00087761">
      <w:pPr>
        <w:jc w:val="both"/>
      </w:pPr>
      <w:r>
        <w:t>Donnée d’entrée variable selon les sites, et commune à tous les bassins versants d’un même site : la donnée météo (quantité max de précipitation i(t </w:t>
      </w:r>
      <w:proofErr w:type="gramStart"/>
      <w:r>
        <w:t>;T</w:t>
      </w:r>
      <w:proofErr w:type="gramEnd"/>
      <w:r>
        <w:t xml:space="preserve">). Cette donnée n’est pas exploitée dans </w:t>
      </w:r>
      <w:proofErr w:type="spellStart"/>
      <w:r>
        <w:t>mapinfo</w:t>
      </w:r>
      <w:proofErr w:type="spellEnd"/>
      <w:r>
        <w:t>, elle est saisie dans l’</w:t>
      </w:r>
      <w:proofErr w:type="spellStart"/>
      <w:r>
        <w:t>excel</w:t>
      </w:r>
      <w:proofErr w:type="spellEnd"/>
      <w:r>
        <w:t xml:space="preserve"> au moment de la création des tableaux.</w:t>
      </w:r>
    </w:p>
    <w:p w:rsidR="00087761" w:rsidRDefault="00087761" w:rsidP="00087761">
      <w:pPr>
        <w:jc w:val="both"/>
      </w:pPr>
      <w:r>
        <w:t>Au final, le volume d’eau à retenir est calculé pour chaque BV.</w:t>
      </w:r>
    </w:p>
    <w:p w:rsidR="00087761" w:rsidRPr="00087761" w:rsidRDefault="00087761" w:rsidP="00087761">
      <w:pPr>
        <w:jc w:val="both"/>
        <w:rPr>
          <w:b/>
          <w:u w:val="single"/>
        </w:rPr>
      </w:pPr>
      <w:r>
        <w:t xml:space="preserve"> </w:t>
      </w:r>
      <w:r w:rsidRPr="00087761">
        <w:rPr>
          <w:b/>
          <w:u w:val="single"/>
        </w:rPr>
        <w:t>Rétention des bassins</w:t>
      </w:r>
    </w:p>
    <w:p w:rsidR="00087761" w:rsidRDefault="00087761" w:rsidP="00087761">
      <w:pPr>
        <w:jc w:val="both"/>
      </w:pPr>
      <w:r>
        <w:t xml:space="preserve">Le </w:t>
      </w:r>
      <w:proofErr w:type="spellStart"/>
      <w:r>
        <w:t>dbf</w:t>
      </w:r>
      <w:proofErr w:type="spellEnd"/>
      <w:r>
        <w:t xml:space="preserve"> « décanteurs » sert au remplissage de la feuille « rétention des bassins ».</w:t>
      </w:r>
    </w:p>
    <w:p w:rsidR="00087761" w:rsidRDefault="00087761" w:rsidP="00087761">
      <w:pPr>
        <w:jc w:val="both"/>
      </w:pPr>
      <w:r>
        <w:t xml:space="preserve">Chaque bassin appartient à un bassin versant. Ainsi, 1 bassin versant peut comptabiliser plusieurs décanteurs. C’est la somme de la capacité </w:t>
      </w:r>
      <w:proofErr w:type="spellStart"/>
      <w:r>
        <w:t>derétention</w:t>
      </w:r>
      <w:proofErr w:type="spellEnd"/>
      <w:r>
        <w:t xml:space="preserve"> de tous les bassins d’un bassin versant qui est comparée au volume d’eau à retenir au sein d’un BV (donnée calculée dans le tableau </w:t>
      </w:r>
      <w:proofErr w:type="spellStart"/>
      <w:r>
        <w:t>excel</w:t>
      </w:r>
      <w:proofErr w:type="spellEnd"/>
      <w:r>
        <w:t xml:space="preserve"> précédant).</w:t>
      </w:r>
      <w:r w:rsidR="009D47DF">
        <w:t xml:space="preserve"> Cette comparaison (capacité cumulée contre objectif de capacité) donne lieu au calcul du pourcentage de « réussite ».</w:t>
      </w:r>
    </w:p>
    <w:p w:rsidR="00087761" w:rsidRDefault="00087761" w:rsidP="00087761">
      <w:pPr>
        <w:jc w:val="both"/>
      </w:pPr>
      <w:r>
        <w:t xml:space="preserve">Données récupérables dans le </w:t>
      </w:r>
      <w:proofErr w:type="spellStart"/>
      <w:r>
        <w:t>dbf</w:t>
      </w:r>
      <w:proofErr w:type="spellEnd"/>
      <w:r>
        <w:t> : nom du bassin, surface, profondeur, nom du BV affilié.</w:t>
      </w:r>
    </w:p>
    <w:p w:rsidR="00087761" w:rsidRDefault="00087761" w:rsidP="00087761">
      <w:pPr>
        <w:jc w:val="both"/>
      </w:pPr>
      <w:r>
        <w:t>Objectif de capacité de rétention du BV = volume à retenir calculé dans la feuille précédente.</w:t>
      </w:r>
    </w:p>
    <w:p w:rsidR="00087761" w:rsidRDefault="009D47DF" w:rsidP="00087761">
      <w:pPr>
        <w:jc w:val="both"/>
      </w:pPr>
      <w:r>
        <w:t>Profondeur du déversoir par défaut = 0.</w:t>
      </w:r>
    </w:p>
    <w:p w:rsidR="004202FF" w:rsidRDefault="004202FF" w:rsidP="00087761">
      <w:pPr>
        <w:jc w:val="both"/>
      </w:pPr>
      <w:r>
        <w:t>Hauteur de digue par défaut=0.</w:t>
      </w:r>
    </w:p>
    <w:p w:rsidR="009D47DF" w:rsidRDefault="009D47DF" w:rsidP="00087761">
      <w:pPr>
        <w:jc w:val="both"/>
      </w:pPr>
      <w:r>
        <w:t xml:space="preserve">Code couleur : orange= &lt;80% de l’objectif  _  jaune= </w:t>
      </w:r>
      <w:proofErr w:type="spellStart"/>
      <w:r>
        <w:t>inf</w:t>
      </w:r>
      <w:proofErr w:type="spellEnd"/>
      <w:r>
        <w:t xml:space="preserve"> ou égale à 80%&lt;x&lt;100%   _   vert=égale ou sup à 100%</w:t>
      </w:r>
    </w:p>
    <w:p w:rsidR="00087761" w:rsidRDefault="00087761" w:rsidP="00087761">
      <w:pPr>
        <w:jc w:val="both"/>
      </w:pPr>
    </w:p>
    <w:p w:rsidR="009D47DF" w:rsidRPr="009D47DF" w:rsidRDefault="009D47DF" w:rsidP="00087761">
      <w:pPr>
        <w:jc w:val="both"/>
        <w:rPr>
          <w:b/>
          <w:u w:val="single"/>
        </w:rPr>
      </w:pPr>
      <w:r w:rsidRPr="009D47DF">
        <w:rPr>
          <w:b/>
          <w:u w:val="single"/>
        </w:rPr>
        <w:t>Exutoires et déversoirs</w:t>
      </w:r>
    </w:p>
    <w:p w:rsidR="009D47DF" w:rsidRDefault="009D47DF" w:rsidP="00087761">
      <w:pPr>
        <w:jc w:val="both"/>
      </w:pPr>
      <w:r>
        <w:t>Sert à calculer les débits aux exutoires des bassins versants pour des crues centennales, décennales, biennales.</w:t>
      </w:r>
    </w:p>
    <w:p w:rsidR="009D47DF" w:rsidRDefault="009D47DF" w:rsidP="00087761">
      <w:pPr>
        <w:jc w:val="both"/>
      </w:pPr>
      <w:r>
        <w:t xml:space="preserve">Le </w:t>
      </w:r>
      <w:proofErr w:type="spellStart"/>
      <w:r>
        <w:t>dbf</w:t>
      </w:r>
      <w:proofErr w:type="spellEnd"/>
      <w:r>
        <w:t xml:space="preserve"> « BV exutoires » sert au remplissage de la feuille « exutoires et déversoirs ».</w:t>
      </w:r>
    </w:p>
    <w:p w:rsidR="004202FF" w:rsidRDefault="009D47DF" w:rsidP="00087761">
      <w:pPr>
        <w:jc w:val="both"/>
      </w:pPr>
      <w:r>
        <w:t xml:space="preserve">Données récupérables dans le </w:t>
      </w:r>
      <w:proofErr w:type="spellStart"/>
      <w:r>
        <w:t>dbf</w:t>
      </w:r>
      <w:proofErr w:type="spellEnd"/>
      <w:r>
        <w:t> : nom, surface</w:t>
      </w:r>
      <w:proofErr w:type="gramStart"/>
      <w:r>
        <w:t>, ,</w:t>
      </w:r>
      <w:proofErr w:type="gramEnd"/>
      <w:r>
        <w:t xml:space="preserve"> longueur hydraulique, dénivelé.</w:t>
      </w:r>
    </w:p>
    <w:p w:rsidR="009D47DF" w:rsidRDefault="009D47DF" w:rsidP="00087761">
      <w:pPr>
        <w:jc w:val="both"/>
      </w:pPr>
      <w:proofErr w:type="spellStart"/>
      <w:r>
        <w:lastRenderedPageBreak/>
        <w:t>Coeff</w:t>
      </w:r>
      <w:proofErr w:type="spellEnd"/>
      <w:r>
        <w:t xml:space="preserve"> de ruissèlement par défaut : 0.9</w:t>
      </w:r>
    </w:p>
    <w:p w:rsidR="004202FF" w:rsidRDefault="004202FF" w:rsidP="00087761">
      <w:pPr>
        <w:jc w:val="both"/>
      </w:pPr>
      <w:r>
        <w:t xml:space="preserve">Vitesse d’écoulement :  </w:t>
      </w:r>
    </w:p>
    <w:p w:rsidR="004202FF" w:rsidRDefault="004202FF" w:rsidP="00087761">
      <w:pPr>
        <w:jc w:val="both"/>
      </w:pPr>
      <w:r>
        <w:t>-si la pente est inférieure ou égale à 5% : 1</w:t>
      </w:r>
    </w:p>
    <w:p w:rsidR="004202FF" w:rsidRDefault="004202FF" w:rsidP="00087761">
      <w:pPr>
        <w:jc w:val="both"/>
      </w:pPr>
      <w:r>
        <w:t>-si la pente est comprise entre 5% et 15% inclus: 2</w:t>
      </w:r>
    </w:p>
    <w:p w:rsidR="004202FF" w:rsidRDefault="004202FF" w:rsidP="00087761">
      <w:pPr>
        <w:jc w:val="both"/>
      </w:pPr>
      <w:r>
        <w:t>-si la pente est supérieure à 15% : 4</w:t>
      </w:r>
    </w:p>
    <w:p w:rsidR="004202FF" w:rsidRDefault="004202FF" w:rsidP="00087761">
      <w:pPr>
        <w:jc w:val="both"/>
      </w:pPr>
      <w:r>
        <w:t xml:space="preserve">Coefficients de </w:t>
      </w:r>
      <w:proofErr w:type="spellStart"/>
      <w:r>
        <w:t>montana</w:t>
      </w:r>
      <w:proofErr w:type="spellEnd"/>
      <w:r>
        <w:t xml:space="preserve"> A et B= données météo variables d’un site à l’autre, à saisir pour chaque étude.</w:t>
      </w:r>
    </w:p>
    <w:p w:rsidR="004202FF" w:rsidRDefault="004202FF" w:rsidP="00087761">
      <w:pPr>
        <w:jc w:val="both"/>
      </w:pPr>
      <w:r>
        <w:t xml:space="preserve">Temps de concentration calculé : calculé en fonction de la </w:t>
      </w:r>
      <w:proofErr w:type="spellStart"/>
      <w:r>
        <w:t>lgr</w:t>
      </w:r>
      <w:proofErr w:type="spellEnd"/>
      <w:r>
        <w:t xml:space="preserve"> hydro et de la vitesse d’écoulement.</w:t>
      </w:r>
    </w:p>
    <w:p w:rsidR="004202FF" w:rsidRDefault="004202FF" w:rsidP="00087761">
      <w:pPr>
        <w:jc w:val="both"/>
      </w:pPr>
      <w:r>
        <w:t xml:space="preserve">Temps de concentration considéré : les </w:t>
      </w:r>
      <w:proofErr w:type="spellStart"/>
      <w:r>
        <w:t>coeff</w:t>
      </w:r>
      <w:proofErr w:type="spellEnd"/>
      <w:r>
        <w:t xml:space="preserve"> de Montana sont valables pour un temps de concentration minimal de 6min. Si le Tc calculé est inférieur à 6min, on prendra en compte (ligne tps de concentration considéré) 6 min </w:t>
      </w:r>
      <w:proofErr w:type="spellStart"/>
      <w:r>
        <w:t>qd</w:t>
      </w:r>
      <w:proofErr w:type="spellEnd"/>
      <w:r>
        <w:t xml:space="preserve"> mm. S’il est supérieur en prend en compte la valeur calculée pour le calcul de l’intensité de l’averse (</w:t>
      </w:r>
      <w:proofErr w:type="gramStart"/>
      <w:r>
        <w:t>I(</w:t>
      </w:r>
      <w:proofErr w:type="spellStart"/>
      <w:proofErr w:type="gramEnd"/>
      <w:r>
        <w:t>d,T</w:t>
      </w:r>
      <w:proofErr w:type="spellEnd"/>
      <w:r>
        <w:t>).</w:t>
      </w:r>
    </w:p>
    <w:p w:rsidR="004202FF" w:rsidRDefault="004202FF" w:rsidP="00087761">
      <w:pPr>
        <w:jc w:val="both"/>
      </w:pPr>
      <w:r>
        <w:t>Dans la partie basse du tableau :</w:t>
      </w:r>
    </w:p>
    <w:p w:rsidR="004202FF" w:rsidRDefault="004202FF" w:rsidP="00087761">
      <w:pPr>
        <w:jc w:val="both"/>
      </w:pPr>
      <w:r>
        <w:t>N et g sont des constantes (0.4 et 9.81)</w:t>
      </w:r>
    </w:p>
    <w:p w:rsidR="00013BFE" w:rsidRDefault="006330C9" w:rsidP="00087761">
      <w:pPr>
        <w:jc w:val="both"/>
      </w:pPr>
      <w:r>
        <w:t>H lame d’eau</w:t>
      </w:r>
      <w:r w:rsidR="00013BFE">
        <w:t xml:space="preserve"> = 0.4 par défaut</w:t>
      </w:r>
    </w:p>
    <w:p w:rsidR="006330C9" w:rsidRDefault="00013BFE" w:rsidP="00087761">
      <w:pPr>
        <w:jc w:val="both"/>
      </w:pPr>
      <w:r>
        <w:t>Revanche = 0.1 par défaut</w:t>
      </w:r>
    </w:p>
    <w:p w:rsidR="00013BFE" w:rsidRDefault="00013BFE" w:rsidP="00087761">
      <w:pPr>
        <w:jc w:val="both"/>
      </w:pPr>
      <w:r>
        <w:t xml:space="preserve">Dans la case du bas dimensionnement de la zone de passage de l’eau : Largeur = L déversoir arrondi au 0.5 </w:t>
      </w:r>
      <w:proofErr w:type="spellStart"/>
      <w:r>
        <w:t>supp</w:t>
      </w:r>
      <w:proofErr w:type="spellEnd"/>
      <w:r>
        <w:t xml:space="preserve">  et Hauteur = H déversoir arrondi au 0.5 supp.</w:t>
      </w:r>
    </w:p>
    <w:sectPr w:rsidR="0001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7761"/>
    <w:rsid w:val="00013BFE"/>
    <w:rsid w:val="00087761"/>
    <w:rsid w:val="004202FF"/>
    <w:rsid w:val="006330C9"/>
    <w:rsid w:val="009D4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VIRTEL</dc:creator>
  <cp:keywords/>
  <dc:description/>
  <cp:lastModifiedBy>Aurélie VIRTEL</cp:lastModifiedBy>
  <cp:revision>2</cp:revision>
  <dcterms:created xsi:type="dcterms:W3CDTF">2020-11-18T04:05:00Z</dcterms:created>
  <dcterms:modified xsi:type="dcterms:W3CDTF">2020-11-18T06:14:00Z</dcterms:modified>
</cp:coreProperties>
</file>